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9.jpeg" ContentType="image/jpeg"/>
  <Override PartName="/word/media/image6.gif" ContentType="image/gif"/>
  <Override PartName="/word/media/image2.jpeg" ContentType="image/jpeg"/>
  <Override PartName="/word/media/image3.jpeg" ContentType="image/jpeg"/>
  <Override PartName="/word/media/image4.jpeg" ContentType="image/jpeg"/>
  <Override PartName="/word/media/image5.jpeg" ContentType="image/jpeg"/>
  <Override PartName="/word/media/image7.png" ContentType="image/png"/>
  <Override PartName="/word/media/image8.jpeg" ContentType="image/jpeg"/>
  <Override PartName="/word/media/image10.jpeg" ContentType="image/jpeg"/>
  <Override PartName="/word/media/image11.jpeg" ContentType="image/jpeg"/>
  <Override PartName="/word/media/image12.jpeg" ContentType="image/jpeg"/>
  <Override PartName="/word/media/image13.jpeg" ContentType="image/jpeg"/>
  <Override PartName="/word/media/image14.jpeg" ContentType="image/jpeg"/>
  <Override PartName="/word/media/image29.png" ContentType="image/png"/>
  <Override PartName="/word/media/image15.jpeg" ContentType="image/jpeg"/>
  <Override PartName="/word/media/image16.jpeg" ContentType="image/jpeg"/>
  <Override PartName="/word/media/image17.jpeg" ContentType="image/jpeg"/>
  <Override PartName="/word/media/image18.jpeg" ContentType="image/jpeg"/>
  <Override PartName="/word/media/image19.jpeg" ContentType="image/jpeg"/>
  <Override PartName="/word/media/image20.png" ContentType="image/png"/>
  <Override PartName="/word/media/image40.jpeg" ContentType="image/jpeg"/>
  <Override PartName="/word/media/image21.png" ContentType="image/png"/>
  <Override PartName="/word/media/image22.jpeg" ContentType="image/jpeg"/>
  <Override PartName="/word/media/image23.jpeg" ContentType="image/jpeg"/>
  <Override PartName="/word/media/image24.jpeg" ContentType="image/jpeg"/>
  <Override PartName="/word/media/image25.jpeg" ContentType="image/jpeg"/>
  <Override PartName="/word/media/image26.jpeg" ContentType="image/jpeg"/>
  <Override PartName="/word/media/image37.png" ContentType="image/png"/>
  <Override PartName="/word/media/image27.jpeg" ContentType="image/jpeg"/>
  <Override PartName="/word/media/image28.jpeg" ContentType="image/jpeg"/>
  <Override PartName="/word/media/image30.jpeg" ContentType="image/jpeg"/>
  <Override PartName="/word/media/image32.png" ContentType="image/png"/>
  <Override PartName="/word/media/image31.jpeg" ContentType="image/jpeg"/>
  <Override PartName="/word/media/image33.png" ContentType="image/png"/>
  <Override PartName="/word/media/image34.png" ContentType="image/png"/>
  <Override PartName="/word/media/image35.png" ContentType="image/png"/>
  <Override PartName="/word/media/image36.png" ContentType="image/png"/>
  <Override PartName="/word/media/image38.jpeg" ContentType="image/jpeg"/>
  <Override PartName="/word/media/image39.jpeg" ContentType="image/jpeg"/>
  <Override PartName="/word/media/image41.jpeg" ContentType="image/jpeg"/>
  <Override PartName="/word/media/image42.jpeg" ContentType="image/jpeg"/>
  <Override PartName="/word/media/image43.jpeg" ContentType="image/jpeg"/>
  <Override PartName="/word/media/image44.png" ContentType="image/png"/>
  <Override PartName="/word/media/image45.jpeg" ContentType="image/jpeg"/>
  <Override PartName="/word/media/image46.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Cover Pages"/>
          <w:docPartUnique w:val="true"/>
        </w:docPartObj>
        <w:id w:val="1651963582"/>
      </w:sdtPr>
      <w:sdtContent>
        <w:p>
          <w:pPr>
            <w:pStyle w:val="NoSpacing"/>
            <w:rPr/>
          </w:pPr>
          <w:r>
            <w:rPr/>
            <mc:AlternateContent>
              <mc:Choice Requires="wpg">
                <w:drawing>
                  <wp:anchor behindDoc="1" distT="0" distB="0" distL="0" distR="0" simplePos="0" locked="0" layoutInCell="0" allowOverlap="1" relativeHeight="33">
                    <wp:simplePos x="0" y="0"/>
                    <wp:positionH relativeFrom="page">
                      <wp:posOffset>302260</wp:posOffset>
                    </wp:positionH>
                    <wp:positionV relativeFrom="page">
                      <wp:align>center</wp:align>
                    </wp:positionV>
                    <wp:extent cx="2197100" cy="9128125"/>
                    <wp:effectExtent l="0" t="0" r="6985" b="7620"/>
                    <wp:wrapNone/>
                    <wp:docPr id="1" name="Группа 2"/>
                    <a:graphic xmlns:a="http://schemas.openxmlformats.org/drawingml/2006/main">
                      <a:graphicData uri="http://schemas.microsoft.com/office/word/2010/wordprocessingGroup">
                        <wpg:wgp>
                          <wpg:cNvGrpSpPr/>
                          <wpg:grpSpPr>
                            <a:xfrm>
                              <a:off x="0" y="0"/>
                              <a:ext cx="2196360" cy="9127440"/>
                            </a:xfrm>
                          </wpg:grpSpPr>
                          <wps:wsp>
                            <wps:cNvSpPr/>
                            <wps:spPr>
                              <a:xfrm>
                                <a:off x="0" y="0"/>
                                <a:ext cx="191880" cy="91274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wps:style>
                            <wps:bodyPr/>
                          </wps:wsp>
                          <wps:wsp>
                            <wps:cNvSpPr/>
                            <wps:spPr>
                              <a:xfrm>
                                <a:off x="0" y="1467000"/>
                                <a:ext cx="2196360" cy="549360"/>
                              </a:xfrm>
                              <a:prstGeom prst="homePlate">
                                <a:avLst>
                                  <a:gd name="adj" fmla="val 50000"/>
                                </a:avLst>
                              </a:prstGeom>
                              <a:ln>
                                <a:noFill/>
                              </a:ln>
                            </wps:spPr>
                            <wps:style>
                              <a:lnRef idx="2">
                                <a:schemeClr val="accent1">
                                  <a:shade val="50000"/>
                                </a:schemeClr>
                              </a:lnRef>
                              <a:fillRef idx="1">
                                <a:schemeClr val="accent1"/>
                              </a:fillRef>
                              <a:effectRef idx="0">
                                <a:schemeClr val="accent1"/>
                              </a:effectRef>
                              <a:fontRef idx="minor"/>
                            </wps:style>
                            <wps:txbx>
                              <w:txbxContent>
                                <w:p>
                                  <w:pPr>
                                    <w:overflowPunct w:val="false"/>
                                    <w:spacing w:before="0" w:after="0" w:lineRule="auto" w:line="240"/>
                                    <w:jc w:val="right"/>
                                    <w:rPr/>
                                  </w:pPr>
                                  <w:r>
                                    <w:rPr>
                                      <w:sz w:val="28"/>
                                      <w:b w:val="false"/>
                                      <w:u w:val="none"/>
                                      <w:dstrike w:val="false"/>
                                      <w:strike w:val="false"/>
                                      <w:i w:val="false"/>
                                      <w:vertAlign w:val="baseline"/>
                                      <w:position w:val="0"/>
                                      <w:spacing w:val="0"/>
                                      <w:szCs w:val="28"/>
                                      <w:bCs w:val="false"/>
                                      <w:iCs w:val="false"/>
                                      <w:smallCaps w:val="false"/>
                                      <w:caps w:val="false"/>
                                      <w:rFonts w:ascii="Calibri" w:hAnsi="Calibri" w:eastAsia="Calibri"/>
                                      <w:color w:val="9EB060"/>
                                    </w:rPr>
                                    <w:t>.2018</w:t>
                                  </w:r>
                                </w:p>
                              </w:txbxContent>
                            </wps:txbx>
                            <wps:bodyPr lIns="90000" rIns="182880" tIns="0" bIns="0" anchor="ctr">
                              <a:noAutofit/>
                            </wps:bodyPr>
                          </wps:wsp>
                          <wpg:grpSp>
                            <wpg:cNvGrpSpPr/>
                            <wpg:grpSpPr>
                              <a:xfrm>
                                <a:off x="76320" y="4212000"/>
                                <a:ext cx="2059200" cy="4910400"/>
                              </a:xfrm>
                            </wpg:grpSpPr>
                            <wpg:grpSp>
                              <wpg:cNvGrpSpPr/>
                              <wpg:grpSpPr>
                                <a:xfrm>
                                  <a:off x="95040" y="0"/>
                                  <a:ext cx="1651680" cy="4910400"/>
                                </a:xfrm>
                              </wpg:grpSpPr>
                              <wps:wsp>
                                <wps:cNvSpPr/>
                                <wps:spPr>
                                  <a:xfrm>
                                    <a:off x="360000" y="3157200"/>
                                    <a:ext cx="304200" cy="1096560"/>
                                  </a:xfrm>
                                  <a:custGeom>
                                    <a:avLst/>
                                    <a:gdLst/>
                                    <a:ahLst/>
                                    <a:rect l="l" t="t"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682200" y="4241160"/>
                                    <a:ext cx="288360" cy="669240"/>
                                  </a:xfrm>
                                  <a:custGeom>
                                    <a:avLst/>
                                    <a:gdLst/>
                                    <a:ahLst/>
                                    <a:rect l="l" t="t"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0" y="0"/>
                                    <a:ext cx="347400" cy="3177000"/>
                                  </a:xfrm>
                                  <a:custGeom>
                                    <a:avLst/>
                                    <a:gdLst/>
                                    <a:ahLst/>
                                    <a:rect l="l" t="t"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315000" y="1022400"/>
                                    <a:ext cx="111600" cy="2132280"/>
                                  </a:xfrm>
                                  <a:custGeom>
                                    <a:avLst/>
                                    <a:gdLst/>
                                    <a:ahLst/>
                                    <a:rect l="l" t="t"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ln>
                                </wps:spPr>
                                <wps:style>
                                  <a:lnRef idx="0"/>
                                  <a:fillRef idx="0"/>
                                  <a:effectRef idx="0"/>
                                  <a:fontRef idx="minor"/>
                                </wps:style>
                                <wps:bodyPr/>
                              </wps:wsp>
                              <wps:wsp>
                                <wps:cNvSpPr/>
                                <wps:spPr>
                                  <a:xfrm>
                                    <a:off x="349920" y="3179520"/>
                                    <a:ext cx="384120" cy="1568520"/>
                                  </a:xfrm>
                                  <a:custGeom>
                                    <a:avLst/>
                                    <a:gdLst/>
                                    <a:ahLst/>
                                    <a:rect l="l" t="t"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757080" y="4740120"/>
                                    <a:ext cx="79920" cy="169560"/>
                                  </a:xfrm>
                                  <a:custGeom>
                                    <a:avLst/>
                                    <a:gdLst/>
                                    <a:ahLst/>
                                    <a:rect l="l" t="t" r="r" b="b"/>
                                    <a:pathLst>
                                      <a:path w="33" h="69">
                                        <a:moveTo>
                                          <a:pt x="0" y="0"/>
                                        </a:moveTo>
                                        <a:lnTo>
                                          <a:pt x="33" y="69"/>
                                        </a:lnTo>
                                        <a:lnTo>
                                          <a:pt x="24" y="69"/>
                                        </a:lnTo>
                                        <a:lnTo>
                                          <a:pt x="12" y="35"/>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338040" y="3056760"/>
                                    <a:ext cx="34920" cy="230040"/>
                                  </a:xfrm>
                                  <a:custGeom>
                                    <a:avLst/>
                                    <a:gdLst/>
                                    <a:ahLst/>
                                    <a:rect l="l" t="t"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666720" y="2325960"/>
                                    <a:ext cx="984960" cy="1912680"/>
                                  </a:xfrm>
                                  <a:custGeom>
                                    <a:avLst/>
                                    <a:gdLst/>
                                    <a:ahLst/>
                                    <a:rect l="l" t="t"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ln>
                                </wps:spPr>
                                <wps:style>
                                  <a:lnRef idx="0"/>
                                  <a:fillRef idx="0"/>
                                  <a:effectRef idx="0"/>
                                  <a:fontRef idx="minor"/>
                                </wps:style>
                                <wps:bodyPr/>
                              </wps:wsp>
                              <wps:wsp>
                                <wps:cNvSpPr/>
                                <wps:spPr>
                                  <a:xfrm>
                                    <a:off x="666720" y="4255560"/>
                                    <a:ext cx="87480" cy="482040"/>
                                  </a:xfrm>
                                  <a:custGeom>
                                    <a:avLst/>
                                    <a:gdLst/>
                                    <a:ahLst/>
                                    <a:rect l="l" t="t"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737280" y="4750560"/>
                                    <a:ext cx="74880" cy="160200"/>
                                  </a:xfrm>
                                  <a:custGeom>
                                    <a:avLst/>
                                    <a:gdLst/>
                                    <a:ahLst/>
                                    <a:rect l="l" t="t" r="r" b="b"/>
                                    <a:pathLst>
                                      <a:path w="31" h="65">
                                        <a:moveTo>
                                          <a:pt x="0" y="0"/>
                                        </a:moveTo>
                                        <a:lnTo>
                                          <a:pt x="31" y="65"/>
                                        </a:lnTo>
                                        <a:lnTo>
                                          <a:pt x="23" y="65"/>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666720" y="4198680"/>
                                    <a:ext cx="15120" cy="102240"/>
                                  </a:xfrm>
                                  <a:custGeom>
                                    <a:avLst/>
                                    <a:gdLst/>
                                    <a:ahLst/>
                                    <a:rect l="l" t="t"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704880" y="4618440"/>
                                    <a:ext cx="109800" cy="291960"/>
                                  </a:xfrm>
                                  <a:custGeom>
                                    <a:avLst/>
                                    <a:gdLst/>
                                    <a:ahLst/>
                                    <a:rect l="l" t="t"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ln>
                                </wps:spPr>
                                <wps:style>
                                  <a:lnRef idx="0"/>
                                  <a:fillRef idx="0"/>
                                  <a:effectRef idx="0"/>
                                  <a:fontRef idx="minor"/>
                                </wps:style>
                                <wps:bodyPr/>
                              </wps:wsp>
                            </wpg:grpSp>
                            <wpg:grpSp>
                              <wpg:cNvGrpSpPr/>
                              <wpg:grpSpPr>
                                <a:xfrm>
                                  <a:off x="0" y="968400"/>
                                  <a:ext cx="2059200" cy="3942000"/>
                                </a:xfrm>
                              </wpg:grpSpPr>
                              <wps:wsp>
                                <wps:cNvSpPr/>
                                <wps:spPr>
                                  <a:xfrm>
                                    <a:off x="89280" y="1267920"/>
                                    <a:ext cx="466200" cy="1677600"/>
                                  </a:xfrm>
                                  <a:custGeom>
                                    <a:avLst/>
                                    <a:gdLst/>
                                    <a:ahLst/>
                                    <a:rect l="l" t="t"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84640" y="2918520"/>
                                    <a:ext cx="438840" cy="1023120"/>
                                  </a:xfrm>
                                  <a:custGeom>
                                    <a:avLst/>
                                    <a:gdLst/>
                                    <a:ahLst/>
                                    <a:rect l="l" t="t"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0" y="847080"/>
                                    <a:ext cx="72360" cy="448920"/>
                                  </a:xfrm>
                                  <a:custGeom>
                                    <a:avLst/>
                                    <a:gdLst/>
                                    <a:ahLst/>
                                    <a:rect l="l" t="t"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74880" y="1297800"/>
                                    <a:ext cx="589320" cy="2397600"/>
                                  </a:xfrm>
                                  <a:custGeom>
                                    <a:avLst/>
                                    <a:gdLst/>
                                    <a:ahLst/>
                                    <a:rect l="l" t="t"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696600" y="3679920"/>
                                    <a:ext cx="120600" cy="262080"/>
                                  </a:xfrm>
                                  <a:custGeom>
                                    <a:avLst/>
                                    <a:gdLst/>
                                    <a:ahLst/>
                                    <a:rect l="l" t="t"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9400" y="1114920"/>
                                    <a:ext cx="53280" cy="351720"/>
                                  </a:xfrm>
                                  <a:custGeom>
                                    <a:avLst/>
                                    <a:gdLst/>
                                    <a:ahLst/>
                                    <a:rect l="l" t="t"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58000" y="0"/>
                                    <a:ext cx="1501200" cy="2916000"/>
                                  </a:xfrm>
                                  <a:custGeom>
                                    <a:avLst/>
                                    <a:gdLst/>
                                    <a:ahLst/>
                                    <a:rect l="l" t="t"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58000" y="2948400"/>
                                    <a:ext cx="135720" cy="728280"/>
                                  </a:xfrm>
                                  <a:custGeom>
                                    <a:avLst/>
                                    <a:gdLst/>
                                    <a:ahLst/>
                                    <a:rect l="l" t="t"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666720" y="3698280"/>
                                    <a:ext cx="113040" cy="243720"/>
                                  </a:xfrm>
                                  <a:custGeom>
                                    <a:avLst/>
                                    <a:gdLst/>
                                    <a:ahLst/>
                                    <a:rect l="l" t="t"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58000" y="2855520"/>
                                    <a:ext cx="23400" cy="158040"/>
                                  </a:xfrm>
                                  <a:custGeom>
                                    <a:avLst/>
                                    <a:gdLst/>
                                    <a:ahLst/>
                                    <a:rect l="l" t="t"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614520" y="3493080"/>
                                    <a:ext cx="168840" cy="448920"/>
                                  </a:xfrm>
                                  <a:custGeom>
                                    <a:avLst/>
                                    <a:gdLst/>
                                    <a:ahLst/>
                                    <a:rect l="l" t="t"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g:grpSp>
                          </wpg:grpSp>
                        </wpg:wgp>
                      </a:graphicData>
                    </a:graphic>
                    <wp14:sizeRelH relativeFrom="page">
                      <wp14:pctWidth>33000</wp14:pctWidth>
                    </wp14:sizeRelH>
                    <wp14:sizeRelV relativeFrom="page">
                      <wp14:pctHeight>95000</wp14:pctHeight>
                    </wp14:sizeRelV>
                  </wp:anchor>
                </w:drawing>
              </mc:Choice>
              <mc:Fallback>
                <w:pict>
                  <v:group id="shape_0" alt="Группа 2" style="position:absolute;margin-left:23.8pt;margin-top:61.6pt;width:172.95pt;height:718.7pt" coordorigin="476,1232" coordsize="3459,14374">
                    <v:rect id="shape_0" fillcolor="#444d26" stroked="f" style="position:absolute;left:476;top:1232;width:301;height:14373;v-text-anchor:middle;mso-position-horizontal-relative:page;mso-position-vertical:center;mso-position-vertical-relative:page">
                      <w10:wrap type="none"/>
                      <v:fill o:detectmouseclick="t" type="solid" color2="#bbb2d9"/>
                      <v:stroke color="#3465a4" weight="25560"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fillcolor="#a5b592" stroked="f" style="position:absolute;left:476;top:3542;width:3458;height:864;v-text-anchor:middle;mso-position-horizontal-relative:page;mso-position-vertical:center;mso-position-vertical-relative:page" type="shapetype_15">
                      <v:textbox>
                        <w:txbxContent>
                          <w:p>
                            <w:pPr>
                              <w:overflowPunct w:val="false"/>
                              <w:spacing w:before="0" w:after="0" w:lineRule="auto" w:line="240"/>
                              <w:jc w:val="right"/>
                              <w:rPr/>
                            </w:pPr>
                            <w:r>
                              <w:rPr>
                                <w:sz w:val="28"/>
                                <w:b w:val="false"/>
                                <w:u w:val="none"/>
                                <w:dstrike w:val="false"/>
                                <w:strike w:val="false"/>
                                <w:i w:val="false"/>
                                <w:vertAlign w:val="baseline"/>
                                <w:position w:val="0"/>
                                <w:spacing w:val="0"/>
                                <w:szCs w:val="28"/>
                                <w:bCs w:val="false"/>
                                <w:iCs w:val="false"/>
                                <w:smallCaps w:val="false"/>
                                <w:caps w:val="false"/>
                                <w:rFonts w:ascii="Calibri" w:hAnsi="Calibri" w:eastAsia="Calibri"/>
                                <w:color w:val="9EB060"/>
                              </w:rPr>
                              <w:t>.2018</w:t>
                            </w:r>
                          </w:p>
                        </w:txbxContent>
                      </v:textbox>
                      <w10:wrap type="none"/>
                      <v:fill o:detectmouseclick="t" type="solid" color2="#5a4a6d"/>
                      <v:stroke color="#3465a4" weight="25560" joinstyle="round" endcap="flat"/>
                    </v:shape>
                    <v:group id="shape_0" style="position:absolute;left:596;top:7865;width:3242;height:7733">
                      <v:group id="shape_0" style="position:absolute;left:746;top:7865;width:2601;height:7733"/>
                      <v:group id="shape_0" style="position:absolute;left:596;top:9390;width:3242;height:6208"/>
                    </v:group>
                  </v:group>
                </w:pict>
              </mc:Fallback>
            </mc:AlternateContent>
          </w:r>
        </w:p>
        <w:p>
          <w:pPr>
            <w:pStyle w:val="Normal"/>
            <w:rPr>
              <w:b/>
              <w:b/>
              <w:bCs/>
              <w:sz w:val="32"/>
              <w:szCs w:val="32"/>
            </w:rPr>
          </w:pPr>
          <w:r>
            <w:rPr>
              <w:b/>
              <w:bCs/>
              <w:sz w:val="32"/>
              <w:szCs w:val="32"/>
            </w:rPr>
            <mc:AlternateContent>
              <mc:Choice Requires="wps">
                <w:drawing>
                  <wp:anchor behindDoc="0" distT="0" distB="0" distL="0" distR="0" simplePos="0" locked="0" layoutInCell="0" allowOverlap="1" relativeHeight="34">
                    <wp:simplePos x="0" y="0"/>
                    <wp:positionH relativeFrom="page">
                      <wp:posOffset>2886075</wp:posOffset>
                    </wp:positionH>
                    <wp:positionV relativeFrom="page">
                      <wp:posOffset>1866900</wp:posOffset>
                    </wp:positionV>
                    <wp:extent cx="4117340" cy="4022090"/>
                    <wp:effectExtent l="0" t="0" r="0" b="0"/>
                    <wp:wrapNone/>
                    <wp:docPr id="2" name="Надпись 1"/>
                    <a:graphic xmlns:a="http://schemas.openxmlformats.org/drawingml/2006/main">
                      <a:graphicData uri="http://schemas.microsoft.com/office/word/2010/wordprocessingShape">
                        <wps:wsp>
                          <wps:cNvSpPr/>
                          <wps:spPr>
                            <a:xfrm>
                              <a:off x="0" y="0"/>
                              <a:ext cx="4116600" cy="402156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Style51"/>
                                  <w:spacing w:before="120" w:after="0"/>
                                  <w:jc w:val="center"/>
                                  <w:rPr>
                                    <w:color w:val="404040" w:themeColor="text1" w:themeTint="bf"/>
                                    <w:sz w:val="36"/>
                                    <w:szCs w:val="36"/>
                                  </w:rPr>
                                </w:pPr>
                                <w:r>
                                  <w:rPr>
                                    <w:caps/>
                                    <w:color w:val="32391C" w:themeColor="text2" w:themeShade="bf"/>
                                    <w:sz w:val="40"/>
                                    <w:szCs w:val="40"/>
                                  </w:rPr>
                                  <w:t xml:space="preserve">СВОДНЫЙ ДОКЛАД </w:t>
                                  <w:br/>
                                  <w:t xml:space="preserve">БРЯНСКОЙ ОБЛАСТИ </w:t>
                                  <w:br/>
                                  <w:t xml:space="preserve">О РЕЗУЛЬТАТАХ МОНИТОРИНГА ЭФФЕКТИВНОСТИ ДЕЯТЕЛЬНОСТИ ОРГАНОВ МЕСТНОГО САМОУПРАВЛЕНИЯ ГОРОДСКИХ ОКРУГОВ </w:t>
                                  <w:br/>
                                  <w:t xml:space="preserve">И МУНИЦИПАЛЬНЫХ РАЙОНОВ БРЯНСКОЙ ОБЛАСТИ </w:t>
                                  <w:br/>
                                  <w:t>ЗА 2019 ГОД</w:t>
                                </w:r>
                                <w:r>
                                  <w:rPr>
                                    <w:color w:val="404040" w:themeColor="text1" w:themeTint="bf"/>
                                    <w:sz w:val="36"/>
                                    <w:szCs w:val="36"/>
                                  </w:rPr>
                                  <w:t xml:space="preserve">      </w:t>
                                </w:r>
                              </w:p>
                            </w:txbxContent>
                          </wps:txbx>
                          <wps:bodyPr lIns="0" rIns="0" tIns="0" bIns="0">
                            <a:noAutofit/>
                          </wps:bodyPr>
                        </wps:wsp>
                      </a:graphicData>
                    </a:graphic>
                  </wp:anchor>
                </w:drawing>
              </mc:Choice>
              <mc:Fallback>
                <w:pict>
                  <v:rect id="shape_0" ID="Надпись 1" stroked="f" style="position:absolute;margin-left:227.25pt;margin-top:147pt;width:324.1pt;height:316.6pt;v-text-anchor:top;mso-position-horizontal-relative:page;mso-position-vertical-relative:page">
                    <w10:wrap type="none"/>
                    <v:fill o:detectmouseclick="t" on="false"/>
                    <v:stroke color="#3465a4" weight="6480" joinstyle="round" endcap="flat"/>
                    <v:textbox>
                      <w:txbxContent>
                        <w:p>
                          <w:pPr>
                            <w:pStyle w:val="Style51"/>
                            <w:spacing w:before="120" w:after="0"/>
                            <w:jc w:val="center"/>
                            <w:rPr>
                              <w:color w:val="404040" w:themeColor="text1" w:themeTint="bf"/>
                              <w:sz w:val="36"/>
                              <w:szCs w:val="36"/>
                            </w:rPr>
                          </w:pPr>
                          <w:r>
                            <w:rPr>
                              <w:caps/>
                              <w:color w:val="32391C" w:themeColor="text2" w:themeShade="bf"/>
                              <w:sz w:val="40"/>
                              <w:szCs w:val="40"/>
                            </w:rPr>
                            <w:t xml:space="preserve">СВОДНЫЙ ДОКЛАД </w:t>
                            <w:br/>
                            <w:t xml:space="preserve">БРЯНСКОЙ ОБЛАСТИ </w:t>
                            <w:br/>
                            <w:t xml:space="preserve">О РЕЗУЛЬТАТАХ МОНИТОРИНГА ЭФФЕКТИВНОСТИ ДЕЯТЕЛЬНОСТИ ОРГАНОВ МЕСТНОГО САМОУПРАВЛЕНИЯ ГОРОДСКИХ ОКРУГОВ </w:t>
                            <w:br/>
                            <w:t xml:space="preserve">И МУНИЦИПАЛЬНЫХ РАЙОНОВ БРЯНСКОЙ ОБЛАСТИ </w:t>
                            <w:br/>
                            <w:t>ЗА 2019 ГОД</w:t>
                          </w:r>
                          <w:r>
                            <w:rPr>
                              <w:color w:val="404040" w:themeColor="text1" w:themeTint="bf"/>
                              <w:sz w:val="36"/>
                              <w:szCs w:val="36"/>
                            </w:rPr>
                            <w:t xml:space="preserve">      </w:t>
                          </w:r>
                        </w:p>
                      </w:txbxContent>
                    </v:textbox>
                  </v:rect>
                </w:pict>
              </mc:Fallback>
            </mc:AlternateContent>
            <mc:AlternateContent>
              <mc:Choice Requires="wps">
                <w:drawing>
                  <wp:anchor behindDoc="0" distT="0" distB="0" distL="0" distR="0" simplePos="0" locked="0" layoutInCell="0" allowOverlap="1" relativeHeight="35">
                    <wp:simplePos x="0" y="0"/>
                    <wp:positionH relativeFrom="page">
                      <wp:posOffset>3175000</wp:posOffset>
                    </wp:positionH>
                    <wp:positionV relativeFrom="page">
                      <wp:posOffset>9408795</wp:posOffset>
                    </wp:positionV>
                    <wp:extent cx="3462655" cy="516890"/>
                    <wp:effectExtent l="0" t="0" r="7620" b="0"/>
                    <wp:wrapNone/>
                    <wp:docPr id="4" name="Надпись 32"/>
                    <a:graphic xmlns:a="http://schemas.openxmlformats.org/drawingml/2006/main">
                      <a:graphicData uri="http://schemas.microsoft.com/office/word/2010/wordprocessingShape">
                        <wps:wsp>
                          <wps:cNvSpPr/>
                          <wps:spPr>
                            <a:xfrm>
                              <a:off x="0" y="0"/>
                              <a:ext cx="3462120" cy="5162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Spacing"/>
                                  <w:jc w:val="center"/>
                                  <w:rPr>
                                    <w:caps/>
                                    <w:color w:val="595959" w:themeColor="text1" w:themeTint="a6"/>
                                  </w:rPr>
                                </w:pPr>
                                <w:r>
                                  <w:rPr>
                                    <w:caps/>
                                    <w:color w:val="595959" w:themeColor="text1" w:themeTint="a6"/>
                                  </w:rPr>
                                  <w:t>Департамент ЭКОНОМИЧЕСКОГО РАЗВИТИЯ</w:t>
                                </w:r>
                              </w:p>
                              <w:p>
                                <w:pPr>
                                  <w:pStyle w:val="NoSpacing"/>
                                  <w:jc w:val="center"/>
                                  <w:rPr>
                                    <w:color w:val="595959" w:themeColor="text1" w:themeTint="a6"/>
                                  </w:rPr>
                                </w:pPr>
                                <w:r>
                                  <w:rPr>
                                    <w:caps/>
                                    <w:color w:val="595959" w:themeColor="text1" w:themeTint="a6"/>
                                  </w:rPr>
                                  <w:t>БРЯНСКОЙ ОБЛАСТИ</w:t>
                                </w:r>
                              </w:p>
                            </w:txbxContent>
                          </wps:txbx>
                          <wps:bodyPr lIns="0" rIns="0" tIns="0" bIns="0" anchor="b">
                            <a:noAutofit/>
                          </wps:bodyPr>
                        </wps:wsp>
                      </a:graphicData>
                    </a:graphic>
                    <wp14:sizeRelH relativeFrom="page">
                      <wp14:pctWidth>45000</wp14:pctWidth>
                    </wp14:sizeRelH>
                  </wp:anchor>
                </w:drawing>
              </mc:Choice>
              <mc:Fallback>
                <w:pict>
                  <v:rect id="shape_0" ID="Надпись 32" stroked="f" style="position:absolute;margin-left:250pt;margin-top:740.85pt;width:272.55pt;height:40.6pt;v-text-anchor:bottom;mso-position-horizontal-relative:page;mso-position-vertical-relative:page">
                    <w10:wrap type="none"/>
                    <v:fill o:detectmouseclick="t" on="false"/>
                    <v:stroke color="#3465a4" weight="6480" joinstyle="round" endcap="flat"/>
                    <v:textbox>
                      <w:txbxContent>
                        <w:p>
                          <w:pPr>
                            <w:pStyle w:val="NoSpacing"/>
                            <w:jc w:val="center"/>
                            <w:rPr>
                              <w:caps/>
                              <w:color w:val="595959" w:themeColor="text1" w:themeTint="a6"/>
                            </w:rPr>
                          </w:pPr>
                          <w:r>
                            <w:rPr>
                              <w:caps/>
                              <w:color w:val="595959" w:themeColor="text1" w:themeTint="a6"/>
                            </w:rPr>
                            <w:t>Департамент ЭКОНОМИЧЕСКОГО РАЗВИТИЯ</w:t>
                          </w:r>
                        </w:p>
                        <w:p>
                          <w:pPr>
                            <w:pStyle w:val="NoSpacing"/>
                            <w:jc w:val="center"/>
                            <w:rPr>
                              <w:color w:val="595959" w:themeColor="text1" w:themeTint="a6"/>
                            </w:rPr>
                          </w:pPr>
                          <w:r>
                            <w:rPr>
                              <w:caps/>
                              <w:color w:val="595959" w:themeColor="text1" w:themeTint="a6"/>
                            </w:rPr>
                            <w:t>БРЯНСКОЙ ОБЛАСТИ</w:t>
                          </w:r>
                        </w:p>
                      </w:txbxContent>
                    </v:textbox>
                  </v:rect>
                </w:pict>
              </mc:Fallback>
            </mc:AlternateContent>
          </w:r>
          <w:r>
            <w:br w:type="page"/>
          </w:r>
        </w:p>
        <w:p>
          <w:pPr>
            <w:pStyle w:val="Normal"/>
            <w:jc w:val="center"/>
            <w:rPr>
              <w:b/>
              <w:b/>
              <w:bCs/>
              <w:sz w:val="32"/>
              <w:szCs w:val="32"/>
            </w:rPr>
          </w:pPr>
          <w:r>
            <w:rPr>
              <w:b/>
              <w:bCs/>
              <w:sz w:val="32"/>
              <w:szCs w:val="32"/>
            </w:rPr>
            <w:t>СОДЕРЖАНИЕ</w:t>
          </w:r>
        </w:p>
        <w:p>
          <w:pPr>
            <w:pStyle w:val="Normal"/>
            <w:jc w:val="center"/>
            <w:rPr>
              <w:sz w:val="32"/>
              <w:szCs w:val="32"/>
            </w:rPr>
          </w:pPr>
          <w:r>
            <w:rPr>
              <w:sz w:val="32"/>
              <w:szCs w:val="32"/>
            </w:rPr>
          </w:r>
        </w:p>
        <w:p>
          <w:pPr>
            <w:pStyle w:val="Normal"/>
            <w:numPr>
              <w:ilvl w:val="0"/>
              <w:numId w:val="30"/>
            </w:numPr>
            <w:spacing w:before="0" w:after="120"/>
            <w:ind w:left="1287" w:hanging="720"/>
            <w:rPr>
              <w:sz w:val="24"/>
              <w:szCs w:val="24"/>
            </w:rPr>
          </w:pPr>
          <w:r>
            <w:rPr>
              <w:sz w:val="24"/>
              <w:szCs w:val="24"/>
            </w:rPr>
            <w:t>ВВЕДЕНИЕ</w:t>
          </w:r>
        </w:p>
        <w:p>
          <w:pPr>
            <w:pStyle w:val="Normal"/>
            <w:numPr>
              <w:ilvl w:val="0"/>
              <w:numId w:val="31"/>
            </w:numPr>
            <w:spacing w:before="0" w:after="120"/>
            <w:ind w:left="1287" w:hanging="720"/>
            <w:rPr>
              <w:sz w:val="24"/>
              <w:szCs w:val="24"/>
            </w:rPr>
          </w:pPr>
          <w:r>
            <w:rPr>
              <w:sz w:val="24"/>
              <w:szCs w:val="24"/>
            </w:rPr>
            <w:t>МОНИТОРИНГ ЭФФЕКТИВНОСТИ ДЕЯТЕЛЬНОСТИ ОРГАНОВ МЕСТНОГО САМОУПРАВЛЕНИЯ ГОРОДСКИХ ОКРУГОВ И МУНИЦИПАЛЬНЫХ РАЙОНОВ БРЯНСКОЙ ОБЛАСТИ</w:t>
          </w:r>
        </w:p>
        <w:p>
          <w:pPr>
            <w:pStyle w:val="Normal"/>
            <w:rPr/>
          </w:pPr>
          <w:r>
            <w:rPr/>
            <w:t>1. Экономическое развитие</w:t>
          </w:r>
        </w:p>
        <w:p>
          <w:pPr>
            <w:pStyle w:val="Normal"/>
            <w:rPr/>
          </w:pPr>
          <w:r>
            <w:rPr/>
            <w:t xml:space="preserve">2. Дошкольное образование </w:t>
          </w:r>
        </w:p>
        <w:p>
          <w:pPr>
            <w:pStyle w:val="Normal"/>
            <w:rPr/>
          </w:pPr>
          <w:r>
            <w:rPr/>
            <w:t>3. Общее и дополнительное образование</w:t>
          </w:r>
        </w:p>
        <w:p>
          <w:pPr>
            <w:pStyle w:val="Normal"/>
            <w:rPr/>
          </w:pPr>
          <w:r>
            <w:rPr/>
            <w:t>4. Культура</w:t>
          </w:r>
        </w:p>
        <w:p>
          <w:pPr>
            <w:pStyle w:val="Normal"/>
            <w:rPr/>
          </w:pPr>
          <w:r>
            <w:rPr/>
            <w:t>5. Физическая культура и спорт</w:t>
          </w:r>
        </w:p>
        <w:p>
          <w:pPr>
            <w:pStyle w:val="Normal"/>
            <w:rPr/>
          </w:pPr>
          <w:r>
            <w:rPr/>
            <w:t>5. Жилищное строительство и обеспечение граждан жильем</w:t>
          </w:r>
        </w:p>
        <w:p>
          <w:pPr>
            <w:pStyle w:val="Normal"/>
            <w:rPr/>
          </w:pPr>
          <w:r>
            <w:rPr/>
            <w:t>7. Жилищно-коммунальное хозяйство</w:t>
          </w:r>
        </w:p>
        <w:p>
          <w:pPr>
            <w:pStyle w:val="Normal"/>
            <w:rPr/>
          </w:pPr>
          <w:r>
            <w:rPr/>
            <w:t>8. Организация муниципального управления</w:t>
          </w:r>
        </w:p>
        <w:p>
          <w:pPr>
            <w:pStyle w:val="Normal"/>
            <w:spacing w:before="0" w:after="120"/>
            <w:rPr/>
          </w:pPr>
          <w:r>
            <w:rPr>
              <w:color w:val="000000"/>
            </w:rPr>
            <w:t>9 Энергосбережение и повышение энергетической эффективности</w:t>
          </w:r>
        </w:p>
        <w:p>
          <w:pPr>
            <w:pStyle w:val="Normal"/>
            <w:numPr>
              <w:ilvl w:val="0"/>
              <w:numId w:val="31"/>
            </w:numPr>
            <w:rPr>
              <w:sz w:val="24"/>
              <w:szCs w:val="24"/>
            </w:rPr>
          </w:pPr>
          <w:r>
            <w:rPr>
              <w:sz w:val="24"/>
              <w:szCs w:val="24"/>
            </w:rPr>
            <w:t>СВОДНЫЙ РЕЙТИНГ ГОРОДСКИХ ОКРУГОВ И МУНИЦИПАЛЬНЫХ РАЙОНОВ БРЯНСКОЙ ОБЛАСТИ ЗА 2019 ГОД</w:t>
          </w:r>
        </w:p>
        <w:p>
          <w:pPr>
            <w:pStyle w:val="Normal"/>
            <w:rPr>
              <w:sz w:val="16"/>
              <w:szCs w:val="16"/>
            </w:rPr>
          </w:pPr>
          <w:r>
            <w:rPr>
              <w:sz w:val="16"/>
              <w:szCs w:val="16"/>
            </w:rPr>
          </w:r>
        </w:p>
        <w:p>
          <w:pPr>
            <w:pStyle w:val="Normal"/>
            <w:jc w:val="both"/>
            <w:rPr/>
          </w:pPr>
          <w:r>
            <w:rPr/>
            <w:t>Приложение 1. Общая информация об органах местного самоуправления Брянской области Брянской области</w:t>
          </w:r>
        </w:p>
        <w:p>
          <w:pPr>
            <w:pStyle w:val="Normal"/>
            <w:jc w:val="both"/>
            <w:rPr/>
          </w:pPr>
          <w:r>
            <w:rPr/>
          </w:r>
        </w:p>
        <w:p>
          <w:pPr>
            <w:pStyle w:val="Normal"/>
            <w:jc w:val="both"/>
            <w:rPr/>
          </w:pPr>
          <w:r>
            <w:rPr/>
            <w:t>Приложение 2. Сводная роспись показателей эффективности деятельности органов местного самоуправления Брянской области за отчетный год и 3 года, предшествующие отчетному</w:t>
          </w:r>
        </w:p>
        <w:p>
          <w:pPr>
            <w:pStyle w:val="Normal"/>
            <w:jc w:val="both"/>
            <w:rPr/>
          </w:pPr>
          <w:r>
            <w:rPr/>
          </w:r>
        </w:p>
        <w:p>
          <w:pPr>
            <w:pStyle w:val="Normal"/>
            <w:jc w:val="both"/>
            <w:rPr/>
          </w:pPr>
          <w:r>
            <w:rPr/>
            <w:t>Приложение 3. Итоги комплексной оценки эффективности деятельности органов местного самоуправления Брянской области за 2019 год</w:t>
          </w:r>
        </w:p>
        <w:p>
          <w:pPr>
            <w:pStyle w:val="Normal"/>
            <w:rPr/>
          </w:pPr>
          <w:r>
            <w:rPr/>
          </w:r>
          <w:r>
            <w:br w:type="page"/>
          </w:r>
        </w:p>
        <w:p>
          <w:pPr>
            <w:pStyle w:val="Normal"/>
            <w:rPr/>
          </w:pPr>
          <w:r>
            <w:rPr/>
          </w:r>
        </w:p>
        <w:p>
          <w:pPr>
            <w:pStyle w:val="Normal"/>
            <w:numPr>
              <w:ilvl w:val="0"/>
              <w:numId w:val="32"/>
            </w:numPr>
            <w:ind w:left="0" w:hanging="0"/>
            <w:jc w:val="center"/>
            <w:rPr>
              <w:b/>
              <w:b/>
              <w:bCs/>
            </w:rPr>
          </w:pPr>
          <w:r>
            <w:rPr>
              <w:b/>
              <w:bCs/>
            </w:rPr>
            <w:t>Введение</w:t>
          </w:r>
        </w:p>
        <w:p>
          <w:pPr>
            <w:pStyle w:val="Normal"/>
            <w:numPr>
              <w:ilvl w:val="0"/>
              <w:numId w:val="0"/>
            </w:numPr>
            <w:ind w:left="0" w:firstLine="567"/>
            <w:jc w:val="both"/>
            <w:outlineLvl w:val="0"/>
            <w:rPr/>
          </w:pPr>
          <w:r>
            <w:rPr/>
            <w:t>Сводный доклад о результатах мониторинга эффективности деятельности органов местного самоуправления городских округов и муниципальных районов Брянской области за 2019 год подготовлен в соответствии с Указом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и постановлением Правительства Российской Федерации от 17.12.2012 №1317 «О мерах по реализации Указа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 601 «Об основных направлениях совершенствования системы государственного управления».</w:t>
          </w:r>
        </w:p>
        <w:p>
          <w:pPr>
            <w:pStyle w:val="Normal"/>
            <w:numPr>
              <w:ilvl w:val="0"/>
              <w:numId w:val="0"/>
            </w:numPr>
            <w:ind w:left="0" w:firstLine="709"/>
            <w:jc w:val="both"/>
            <w:outlineLvl w:val="0"/>
            <w:rPr/>
          </w:pPr>
          <w:r>
            <w:rPr/>
            <w:t>В соответствии с Законом Брянской области</w:t>
          </w:r>
          <w:r>
            <w:rPr>
              <w:color w:val="22272F"/>
              <w:shd w:fill="FFFFFF" w:val="clear"/>
            </w:rPr>
            <w:t xml:space="preserve"> от 9 марта 2005 года № 3-З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w:t>
          </w:r>
          <w:r>
            <w:rPr/>
            <w:t xml:space="preserve">в Брянской области статусом муниципального района наделено 26 муниципальное образование, статусом городского округа – 6 муниципальных образований. </w:t>
          </w:r>
        </w:p>
        <w:p>
          <w:pPr>
            <w:pStyle w:val="Normal"/>
            <w:numPr>
              <w:ilvl w:val="0"/>
              <w:numId w:val="0"/>
            </w:numPr>
            <w:ind w:left="0" w:firstLine="709"/>
            <w:jc w:val="both"/>
            <w:outlineLvl w:val="0"/>
            <w:rPr/>
          </w:pPr>
          <w:r>
            <w:rPr/>
            <w:t>На 1 января 2019 года численность населения Брянской области составляла 1200187 человек.</w:t>
          </w:r>
        </w:p>
        <w:p>
          <w:pPr>
            <w:pStyle w:val="Normal"/>
            <w:ind w:firstLine="567"/>
            <w:jc w:val="both"/>
            <w:rPr/>
          </w:pPr>
          <w:r>
            <w:rPr/>
            <w:t>Общая информация об органах местного самоуправления Брянской области представлена в приложении 1 к настоящему Сводному докладу.</w:t>
          </w:r>
        </w:p>
        <w:p>
          <w:pPr>
            <w:pStyle w:val="Normal"/>
            <w:ind w:firstLine="567"/>
            <w:jc w:val="both"/>
            <w:rPr/>
          </w:pPr>
          <w:r>
            <w:rPr/>
            <w:t>В Брянской области мониторинг и оценка эффективности деятельности органов местного самоуправления городских округов и муниципальных районов за 2019 год проведены в соответствии со следующими нормативными правовыми актами:</w:t>
          </w:r>
        </w:p>
        <w:p>
          <w:pPr>
            <w:pStyle w:val="Normal"/>
            <w:ind w:firstLine="567"/>
            <w:jc w:val="both"/>
            <w:rPr/>
          </w:pPr>
          <w:r>
            <w:rPr/>
            <w:t xml:space="preserve">постановлением Правительства Брянской области от 20 мая 2013 года № 143-п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(далее – постановление № 143-п); </w:t>
          </w:r>
        </w:p>
        <w:p>
          <w:pPr>
            <w:pStyle w:val="Normal"/>
            <w:ind w:firstLine="567"/>
            <w:jc w:val="both"/>
            <w:rPr/>
          </w:pPr>
          <w:r>
            <w:rPr/>
            <w:t>Постановление Правительства Брянской области от 22 июля 2013 г. № 355-п «Об утверждении Порядка организации и проведения опроса населения с использованием информационно-коммуникационных сетей и информационных технологий по оценке эффективности деятельности руководителей органов местного самоуправления городских округов и муниципальных районов Брянской области,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государственной собственности или в муниципальной собственности, осуществляющих оказание услуг населению Брянской области».</w:t>
          </w:r>
        </w:p>
        <w:p>
          <w:pPr>
            <w:pStyle w:val="Normal"/>
            <w:ind w:firstLine="567"/>
            <w:jc w:val="both"/>
            <w:rPr/>
          </w:pPr>
          <w:r>
            <w:rPr/>
            <w:t>Роспись показателей эффективности деятельности органов местного самоуправления Брянской области за отчетный год и 3 года, предшествующие отчетному представлена в приложении 2 к настоящему Сводному докладу.</w:t>
          </w:r>
        </w:p>
        <w:p>
          <w:pPr>
            <w:pStyle w:val="Normal"/>
            <w:tabs>
              <w:tab w:val="clear" w:pos="708"/>
              <w:tab w:val="left" w:pos="0" w:leader="none"/>
            </w:tabs>
            <w:ind w:firstLine="567"/>
            <w:jc w:val="both"/>
            <w:rPr/>
          </w:pPr>
          <w:r>
            <w:rPr/>
            <w:t>Итоги комплексной оценки эффективности деятельности органов местного самоуправления Брянской области за 2019 год представлены в приложении 3 к настоящему Сводному докладу.</w:t>
          </w:r>
        </w:p>
        <w:p>
          <w:pPr>
            <w:pStyle w:val="Normal"/>
            <w:ind w:firstLine="709"/>
            <w:jc w:val="both"/>
            <w:rPr/>
          </w:pPr>
          <w:r>
            <w:rPr/>
            <w:t xml:space="preserve">Оценка проведена по достигнутому уровню и динамике показателей социально-экономического развития муниципальных образований в 2019 году (за базовый взят 2018 год). </w:t>
          </w:r>
        </w:p>
        <w:p>
          <w:pPr>
            <w:pStyle w:val="Normal"/>
            <w:ind w:firstLine="539"/>
            <w:jc w:val="both"/>
            <w:rPr>
              <w:rFonts w:eastAsia="Calibri" w:eastAsiaTheme="minorHAnsi"/>
              <w:lang w:eastAsia="en-US"/>
            </w:rPr>
          </w:pPr>
          <w:r>
            <w:rPr>
              <w:rFonts w:eastAsia="Calibri" w:eastAsiaTheme="minorHAnsi"/>
              <w:lang w:eastAsia="en-US"/>
            </w:rPr>
            <w:t>В качестве исходных данных при формировании доклада главы использовались:</w:t>
          </w:r>
        </w:p>
        <w:p>
          <w:pPr>
            <w:pStyle w:val="Normal"/>
            <w:ind w:firstLine="539"/>
            <w:jc w:val="both"/>
            <w:rPr>
              <w:rFonts w:eastAsia="Calibri" w:eastAsiaTheme="minorHAnsi"/>
              <w:lang w:eastAsia="en-US"/>
            </w:rPr>
          </w:pPr>
          <w:r>
            <w:rPr>
              <w:rFonts w:eastAsia="Calibri" w:eastAsiaTheme="minorHAnsi"/>
              <w:lang w:eastAsia="en-US"/>
            </w:rPr>
            <w:t>официальные статистические данные;</w:t>
          </w:r>
        </w:p>
        <w:p>
          <w:pPr>
            <w:pStyle w:val="Normal"/>
            <w:ind w:firstLine="540"/>
            <w:jc w:val="both"/>
            <w:rPr>
              <w:rFonts w:eastAsia="Calibri" w:eastAsiaTheme="minorHAnsi"/>
              <w:lang w:eastAsia="en-US"/>
            </w:rPr>
          </w:pPr>
          <w:r>
            <w:rPr>
              <w:rFonts w:eastAsia="Calibri" w:eastAsiaTheme="minorHAnsi"/>
              <w:lang w:eastAsia="en-US"/>
            </w:rPr>
            <w:t>официальные данные отраслевых исполнительных органов государственной власти Брянской области (департамент образования и науки Брянской области, департамент здравоохранения Брянской области, департамент культуры Брянской области, управление физической культуры и спорта Брянской области, департамент топливно-энергетического комплекса и жилищно-коммунального хозяйства Брянской области, департамент сельского хозяйства Брянской области);</w:t>
          </w:r>
        </w:p>
        <w:p>
          <w:pPr>
            <w:pStyle w:val="Normal"/>
            <w:ind w:firstLine="539"/>
            <w:jc w:val="both"/>
            <w:rPr>
              <w:rFonts w:eastAsia="Calibri" w:eastAsiaTheme="minorHAnsi"/>
              <w:lang w:eastAsia="en-US"/>
            </w:rPr>
          </w:pPr>
          <w:r>
            <w:rPr>
              <w:rFonts w:eastAsia="Calibri" w:eastAsiaTheme="minorHAnsi"/>
              <w:lang w:eastAsia="en-US"/>
            </w:rPr>
            <w:t>отчет об исполнении бюджета муниципального образования (городского округа, муниципального района Брянской области);</w:t>
          </w:r>
        </w:p>
        <w:p>
          <w:pPr>
            <w:pStyle w:val="Normal"/>
            <w:ind w:firstLine="539"/>
            <w:jc w:val="both"/>
            <w:rPr>
              <w:rFonts w:eastAsia="Calibri" w:eastAsiaTheme="minorHAnsi"/>
              <w:lang w:eastAsia="en-US"/>
            </w:rPr>
          </w:pPr>
          <w:r>
            <w:rPr>
              <w:rFonts w:eastAsia="Calibri" w:eastAsiaTheme="minorHAnsi"/>
              <w:lang w:eastAsia="en-US"/>
            </w:rPr>
            <w:t>данные 3-летнего бюджета муниципального образования (городского округа, муниципального района Брянской области);</w:t>
          </w:r>
        </w:p>
        <w:p>
          <w:pPr>
            <w:pStyle w:val="Normal"/>
            <w:ind w:firstLine="539"/>
            <w:jc w:val="both"/>
            <w:rPr>
              <w:rFonts w:eastAsia="Calibri" w:eastAsiaTheme="minorHAnsi"/>
              <w:lang w:eastAsia="en-US"/>
            </w:rPr>
          </w:pPr>
          <w:r>
            <w:rPr>
              <w:rFonts w:eastAsia="Calibri" w:eastAsiaTheme="minorHAnsi"/>
              <w:lang w:eastAsia="en-US"/>
            </w:rPr>
            <w:t>значения показателей прогноза социально-экономического развития муниципального образования (городского округа, муниципального района Брянской области);</w:t>
          </w:r>
        </w:p>
        <w:p>
          <w:pPr>
            <w:pStyle w:val="Normal"/>
            <w:ind w:firstLine="539"/>
            <w:jc w:val="both"/>
            <w:rPr>
              <w:rFonts w:eastAsia="Calibri" w:eastAsiaTheme="minorHAnsi"/>
              <w:lang w:eastAsia="en-US"/>
            </w:rPr>
          </w:pPr>
          <w:r>
            <w:rPr>
              <w:rFonts w:eastAsia="Calibri" w:eastAsiaTheme="minorHAnsi"/>
              <w:lang w:eastAsia="en-US"/>
            </w:rPr>
            <w:t>значения показателей, планируемых в рамках программ комплексного социально-экономического развития городских округов, муниципальных районов Брянской области;</w:t>
          </w:r>
        </w:p>
        <w:p>
          <w:pPr>
            <w:pStyle w:val="Normal"/>
            <w:ind w:firstLine="539"/>
            <w:jc w:val="both"/>
            <w:rPr>
              <w:rFonts w:eastAsia="Calibri" w:eastAsiaTheme="minorHAnsi"/>
              <w:lang w:eastAsia="en-US"/>
            </w:rPr>
          </w:pPr>
          <w:r>
            <w:rPr>
              <w:rFonts w:eastAsia="Calibri" w:eastAsiaTheme="minorHAnsi"/>
              <w:lang w:eastAsia="en-US"/>
            </w:rPr>
            <w:t>данные опросов населения о деятельности руководителей органов местного самоуправления городских округов и муниципальных районов Брянской области.</w:t>
          </w:r>
        </w:p>
        <w:p>
          <w:pPr>
            <w:pStyle w:val="Normal"/>
            <w:ind w:firstLine="709"/>
            <w:jc w:val="both"/>
            <w:rPr/>
          </w:pPr>
          <w:r>
            <w:rPr/>
            <w:t>Результаты мониторинга эффективности деятельности органов местного самоуправления городских округов и муниципальных районов Брянской области за 2019 год подтвердили значительную дифференциацию муниципальных образований по уровню социально-экономического развития.</w:t>
          </w:r>
        </w:p>
        <w:p>
          <w:pPr>
            <w:pStyle w:val="Normal"/>
            <w:ind w:firstLine="567"/>
            <w:jc w:val="both"/>
            <w:rPr/>
          </w:pPr>
          <w:r>
            <w:rPr/>
            <w:t xml:space="preserve">Сводный доклад Брянской области о результатах мониторинга эффективности деятельности органов местного самоуправления Брянской области за 2019 год размещается на официальном сайте Правительства Брянской области </w:t>
          </w:r>
          <w:hyperlink r:id="rId2">
            <w:r>
              <w:rPr/>
              <w:t>www.bryanskobl.ru</w:t>
            </w:r>
          </w:hyperlink>
          <w:r>
            <w:rPr>
              <w:rStyle w:val="Style13"/>
            </w:rPr>
            <w:t xml:space="preserve"> </w:t>
          </w:r>
          <w:r>
            <w:rPr/>
            <w:t xml:space="preserve">и в государственной автоматизированной информационной системе «Управление».  </w:t>
          </w:r>
          <w:r>
            <w:br w:type="page"/>
          </w:r>
        </w:p>
        <w:p>
          <w:pPr>
            <w:pStyle w:val="Normal"/>
            <w:numPr>
              <w:ilvl w:val="0"/>
              <w:numId w:val="9"/>
            </w:numPr>
            <w:jc w:val="center"/>
            <w:rPr>
              <w:b/>
              <w:b/>
              <w:bCs/>
            </w:rPr>
          </w:pPr>
          <w:r>
            <w:rPr>
              <w:b/>
              <w:bCs/>
            </w:rPr>
            <w:t>ЭКОНОМИЧЕСКОЕ РАЗВИТИЕ</w:t>
          </w:r>
        </w:p>
        <w:p>
          <w:pPr>
            <w:pStyle w:val="Normal"/>
            <w:ind w:firstLine="720"/>
            <w:jc w:val="center"/>
            <w:rPr>
              <w:b/>
              <w:b/>
              <w:lang w:val="en-US"/>
            </w:rPr>
          </w:pPr>
          <w:r>
            <w:rPr>
              <w:b/>
            </w:rPr>
            <w:t>Малое предпринимательство</w:t>
          </w:r>
        </w:p>
        <w:p>
          <w:pPr>
            <w:pStyle w:val="Normal"/>
            <w:ind w:firstLine="720"/>
            <w:jc w:val="center"/>
            <w:rPr>
              <w:b/>
              <w:b/>
            </w:rPr>
          </w:pPr>
          <w:r>
            <w:rPr>
              <w:b/>
            </w:rPr>
          </w:r>
        </w:p>
        <w:p>
          <w:pPr>
            <w:pStyle w:val="Normal"/>
            <w:numPr>
              <w:ilvl w:val="0"/>
              <w:numId w:val="0"/>
            </w:numPr>
            <w:ind w:left="0" w:firstLine="709"/>
            <w:jc w:val="both"/>
            <w:outlineLvl w:val="0"/>
            <w:rPr>
              <w:b/>
              <w:b/>
              <w:bCs/>
            </w:rPr>
          </w:pPr>
          <w:r>
            <w:rPr>
              <w:b/>
              <w:bCs/>
            </w:rPr>
            <w:t>1. Число субъектов малого и среднего предпринимательства на 10 тыс. человек населения (единиц)</w:t>
          </w:r>
        </w:p>
        <w:p>
          <w:pPr>
            <w:pStyle w:val="Normal"/>
            <w:ind w:firstLine="709"/>
            <w:jc w:val="both"/>
            <w:rPr/>
          </w:pPr>
          <w:r>
            <w:rPr/>
            <w:t>Значение показателя по Брянской области в целом уменьшилась с 263,6 единиц в 2018 году до 258 единиц в 2019 году.</w:t>
          </w:r>
        </w:p>
        <w:p>
          <w:pPr>
            <w:pStyle w:val="Normal"/>
            <w:ind w:firstLine="709"/>
            <w:jc w:val="both"/>
            <w:rPr/>
          </w:pPr>
          <w:r>
            <w:rPr/>
            <w:t>По итогам оценки в 2019 году первое место по показателю в регионе, как и в предыдущие годы, занимает городской округ Брянск (502,6 ед.), второе место – Брянский муниципальный район (476,8 ед.), третье место – городской округ Клинцы (335,6 ед.).</w:t>
          </w:r>
        </w:p>
        <w:p>
          <w:pPr>
            <w:pStyle w:val="Normal"/>
            <w:ind w:firstLine="709"/>
            <w:jc w:val="both"/>
            <w:rPr/>
          </w:pPr>
          <w:r>
            <w:rPr/>
            <w:t xml:space="preserve">В городском округе Брянск значение показателя превысило среднее значение по городским округам в 1,5 раза и среднеобластное значение почти в 2 раза. По остальным городским округам значение показателя варьировалось в пределах от 241,4 ед. до 335,6 ед. Отрицательная динамика наблюдалась по всем городским округам. </w:t>
          </w:r>
        </w:p>
        <w:p>
          <w:pPr>
            <w:pStyle w:val="Normal"/>
            <w:ind w:firstLine="709"/>
            <w:jc w:val="both"/>
            <w:rPr/>
          </w:pPr>
          <w:r>
            <w:rPr/>
            <w:t xml:space="preserve">Среди муниципальных районов самое высокое значение показателя наблюдалось в Брянском муниципальном районе (476,8 ед.), минимальное значение показателя - в Новозыбковском муниципальном районе (138,1 ед.). </w:t>
          </w:r>
        </w:p>
        <w:p>
          <w:pPr>
            <w:pStyle w:val="Normal"/>
            <w:ind w:firstLine="709"/>
            <w:jc w:val="both"/>
            <w:rPr/>
          </w:pPr>
          <w:r>
            <w:rPr/>
            <w:t xml:space="preserve">Положительная динамика наблюдалась в 7 из 27 муниципальных районов: Клинцовском (увеличение на 7,46 процентных пункта), Жирятинском (на 5,93 процентных пункта), Гордеевском (на 5,75 процентных пункта), Выгоничском (на 4,43 процентных пункта), Стародубском (на 3,34 процентных пункта), Климовском (на 2,03 процентных пункта) и Севском (на 0,41 процентных пункта). </w:t>
          </w:r>
        </w:p>
        <w:p>
          <w:pPr>
            <w:pStyle w:val="Normal"/>
            <w:ind w:firstLine="709"/>
            <w:jc w:val="both"/>
            <w:rPr/>
          </w:pPr>
          <w:r>
            <w:rPr/>
            <w:t xml:space="preserve">Снижение показателя произошло в 13 муниципальных районах. Значительное снижение показателя в Трубчевском муниципальном районе связано с корректировкой статистических данных по методике, учитывающей применение сведений для расчета показателя по данным федеральной налоговой службы, размещенным в Едином реестре субъектов МСП. </w:t>
          </w:r>
          <w:bookmarkStart w:id="0" w:name="_GoBack"/>
          <w:r>
            <w:rPr/>
            <w:t>В 7 муниципальных образованиях значения показателя остались на уровне 2018 года</w:t>
          </w:r>
          <w:bookmarkEnd w:id="0"/>
          <w:r>
            <w:rPr/>
            <w:t>.</w:t>
          </w:r>
        </w:p>
        <w:p>
          <w:pPr>
            <w:pStyle w:val="Normal"/>
            <w:ind w:firstLine="709"/>
            <w:jc w:val="both"/>
            <w:rPr/>
          </w:pPr>
          <w:r>
            <w:rPr/>
            <w:t xml:space="preserve">Необходимо отметить, что в 2019 году в  половине муниципальных образованиях Брянской области, сохранилась тенденция, когда значение показателя по числу субъектов МСП в расчете на 10 тыс. человек населения» выше среднеобластного уровня данного показателя. </w:t>
          </w:r>
        </w:p>
        <w:p>
          <w:pPr>
            <w:pStyle w:val="Normal"/>
            <w:ind w:firstLine="709"/>
            <w:jc w:val="both"/>
            <w:rPr/>
          </w:pPr>
          <w:r>
            <w:rPr/>
          </w:r>
        </w:p>
        <w:p>
          <w:pPr>
            <w:pStyle w:val="ListParagraph"/>
            <w:numPr>
              <w:ilvl w:val="0"/>
              <w:numId w:val="5"/>
            </w:numPr>
            <w:spacing w:lineRule="auto" w:line="240" w:before="0" w:after="0"/>
            <w:ind w:left="0" w:firstLine="709"/>
            <w:contextualSpacing/>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pPr>
            <w:pStyle w:val="Normal"/>
            <w:ind w:firstLine="709"/>
            <w:jc w:val="both"/>
            <w:rPr/>
          </w:pPr>
          <w:r>
            <w:rPr/>
            <w:t>Значение показателя в 2019 году по Брянской области в целом составила 30,6 % и снизилась по сравнению с 2018 годом на 0,4%. На снижение показателя повлияло уменьшение в 2018 году среднесписочной численности работников малых и средних предприятий, осуществляющих деятельность в базовых отраслях реального сектора экономики Брянской области, таких как, обрабатывающие производства, в том числе производство химических веществ и химических продуктов, обработка древесины, производство изделий из дерева, а также в сфере строительства, транспорта, в сельском хозяйстве, в области здравоохранения и социальных услуг, в сфере культуры и образования. Данное снижение обусловлено рядом факторов, в том числе связанных с внутренней реорганизаций рабочих мест на предприятиях,  с перегруппировкой субъектов хозяйствования, с увеличением численности занятых у индивидуальных предпринимателей.</w:t>
          </w:r>
        </w:p>
        <w:p>
          <w:pPr>
            <w:pStyle w:val="Normal"/>
            <w:ind w:firstLine="709"/>
            <w:jc w:val="both"/>
            <w:rPr/>
          </w:pPr>
          <w:r>
            <w:rPr/>
            <w:t>В городских округах значение данного показателя варьируется от 25,5% до 39,4%. Самые высокие  значения показателя, как и в предыдущие годы,  сохранились в городских округах Брянск (39,4%) и Клинцы (37%), которые превысили среднеобластной. По данной группе муниципальных образований  во всех городских округах сложилась положительная динамика данного показателя и на весь плановый период она прогнозируется стабильной.</w:t>
          </w:r>
        </w:p>
        <w:p>
          <w:pPr>
            <w:pStyle w:val="Normal"/>
            <w:ind w:firstLine="709"/>
            <w:jc w:val="both"/>
            <w:rPr/>
          </w:pPr>
          <w:r>
            <w:rPr/>
            <w:t xml:space="preserve">В группе муниципальных районов наблюдалась положительная динамика показателя в 11  муниципальных районах. При этом самый большой рост показателя наблюдался в Клетнянском муниципальном районе, где доля среднесписочной численности работников составила 48,8%.  </w:t>
          </w:r>
        </w:p>
        <w:p>
          <w:pPr>
            <w:pStyle w:val="Normal"/>
            <w:ind w:firstLine="709"/>
            <w:jc w:val="both"/>
            <w:rPr/>
          </w:pPr>
          <w:r>
            <w:rPr/>
            <w:t xml:space="preserve">Положительная динамика показателя наблюдалась в 11 муниципальных районах (Выгоничском, Дубровском, Дятьковском, Жирятинском, Жуковском, Карачевском.и др) из 26 муниципальных районов группы,  в 6 муниципальных районах (Брасовском, Брянском, Красногорском, Навлинском, Почепском и Севском) наблюдалась отрицательная динамика, в 8 муниципальных районах (Гордеевском, Злынковском, Клинцовском, Комаричском, Суземском, Трубчевском и Унечском) значения показателя остались на уровне 2018 года. </w:t>
          </w:r>
        </w:p>
        <w:p>
          <w:pPr>
            <w:pStyle w:val="Normal"/>
            <w:ind w:firstLine="709"/>
            <w:jc w:val="both"/>
            <w:rPr/>
          </w:pPr>
          <w:r>
            <w:rPr/>
            <w:t>Значения показателя выше среднеобластного уровня имеют:</w:t>
          </w:r>
        </w:p>
        <w:p>
          <w:pPr>
            <w:pStyle w:val="Normal"/>
            <w:ind w:firstLine="709"/>
            <w:jc w:val="both"/>
            <w:rPr/>
          </w:pPr>
          <w:r>
            <w:rPr/>
            <w:t>- в группе муниципальных районов 13 из 26 муниципальных районов: Стародубский (51%), Брянский  (49,5%), Клетнянский (48,8%) муниципальные районы;</w:t>
          </w:r>
        </w:p>
        <w:p>
          <w:pPr>
            <w:pStyle w:val="Normal"/>
            <w:ind w:firstLine="709"/>
            <w:jc w:val="both"/>
            <w:rPr/>
          </w:pPr>
          <w:r>
            <w:rPr/>
            <w:t xml:space="preserve">Превышение значения показателя в указанных муниципальных районах обусловлено рядом факторов: реализацией администрациями муниципалитетов мероприятий по снижению напряженности на рынке труда, в том числе в рамках муниципальных программ поддержки и развития малого и среднего предпринимательства, мероприятий по стимулированию внутреннего спроса на продукцию и услуги отечественных производителей. Указанные мероприятия  поспособствовали увеличению количества малых и средних предприятий на подведомственных территориях и увеличению среднесписочной численности занятых в них работников. В большинстве муниципальных образований прогнозируется рост данного показателя на конец планируемого периода по сравнению с уровнем 2018 года в связи с дальнейшей реализацией направлений поддержки малого и среднего предпринимательства на подведомственных территориях. </w:t>
          </w:r>
        </w:p>
        <w:p>
          <w:pPr>
            <w:pStyle w:val="Normal"/>
            <w:ind w:firstLine="709"/>
            <w:jc w:val="center"/>
            <w:rPr>
              <w:color w:val="FF0000"/>
              <w:u w:val="single"/>
            </w:rPr>
          </w:pPr>
          <w:r>
            <w:rPr>
              <w:color w:val="FF0000"/>
              <w:u w:val="single"/>
            </w:rPr>
          </w:r>
        </w:p>
        <w:p>
          <w:pPr>
            <w:pStyle w:val="Normal"/>
            <w:ind w:firstLine="709"/>
            <w:jc w:val="center"/>
            <w:rPr>
              <w:u w:val="single"/>
            </w:rPr>
          </w:pPr>
          <w:r>
            <w:rPr>
              <w:u w:val="single"/>
            </w:rPr>
            <w:t>Зоны, требующие приоритетного внимания органов местного самоуправления городских округов и муниципальных районов по разделу «Малое и среднее предпринимательство»</w:t>
          </w:r>
        </w:p>
        <w:p>
          <w:pPr>
            <w:pStyle w:val="Normal"/>
            <w:numPr>
              <w:ilvl w:val="0"/>
              <w:numId w:val="6"/>
            </w:numPr>
            <w:ind w:left="0" w:firstLine="709"/>
            <w:jc w:val="both"/>
            <w:rPr/>
          </w:pPr>
          <w:r>
            <w:rPr/>
            <w:t>Использование потенциала современных институтов развития в целях развития малого и среднего предпринимательства на подведомственной территории.</w:t>
          </w:r>
        </w:p>
        <w:p>
          <w:pPr>
            <w:pStyle w:val="Normal"/>
            <w:numPr>
              <w:ilvl w:val="0"/>
              <w:numId w:val="6"/>
            </w:numPr>
            <w:ind w:left="0" w:firstLine="709"/>
            <w:jc w:val="both"/>
            <w:rPr/>
          </w:pPr>
          <w:r>
            <w:rPr/>
            <w:t>Включение средств на финансирование программ поддержки малого и среднего предпринимательства в расходную часть местных бюджетов.</w:t>
          </w:r>
        </w:p>
        <w:p>
          <w:pPr>
            <w:pStyle w:val="Normal"/>
            <w:numPr>
              <w:ilvl w:val="0"/>
              <w:numId w:val="6"/>
            </w:numPr>
            <w:ind w:left="0" w:firstLine="709"/>
            <w:jc w:val="both"/>
            <w:rPr/>
          </w:pPr>
          <w:r>
            <w:rPr/>
            <w:t xml:space="preserve">Повышение уровня информационно-разъяснительной работы в отношении форм и видов поддержки субъектов малого и среднего предпринимательства; актуализация информации о мерах и направлениях поддержки. </w:t>
          </w:r>
        </w:p>
        <w:p>
          <w:pPr>
            <w:pStyle w:val="Normal"/>
            <w:ind w:firstLine="709"/>
            <w:jc w:val="center"/>
            <w:rPr>
              <w:u w:val="single"/>
            </w:rPr>
          </w:pPr>
          <w:r>
            <w:rPr>
              <w:u w:val="single"/>
            </w:rPr>
          </w:r>
        </w:p>
        <w:p>
          <w:pPr>
            <w:pStyle w:val="Normal"/>
            <w:ind w:firstLine="709"/>
            <w:jc w:val="center"/>
            <w:rPr>
              <w:u w:val="single"/>
            </w:rPr>
          </w:pPr>
          <w:r>
            <w:rPr>
              <w:u w:val="single"/>
            </w:rPr>
            <w:t>Перечень мероприятий по повышению результативности деятельности органов местного самоуправления городских округов и муниципальных районов по разделу «Малое и среднее предпринимательство»</w:t>
          </w:r>
        </w:p>
        <w:p>
          <w:pPr>
            <w:pStyle w:val="Normal"/>
            <w:ind w:firstLine="709"/>
            <w:jc w:val="both"/>
            <w:rPr/>
          </w:pPr>
          <w:r>
            <w:rPr/>
          </w:r>
        </w:p>
        <w:p>
          <w:pPr>
            <w:pStyle w:val="Normal"/>
            <w:ind w:firstLine="709"/>
            <w:jc w:val="both"/>
            <w:rPr/>
          </w:pPr>
          <w:r>
            <w:rPr/>
            <w:t>1.</w:t>
            <w:tab/>
            <w:t>Проведение информационно-консультационных мероприятий в муниципальных образованиях Брянской области с целью информирования субъектов малого и среднего предпринимательства о мерах государственной поддержки, реализуемых на федеральном, региональном и муниципальном уровнях.</w:t>
          </w:r>
        </w:p>
        <w:p>
          <w:pPr>
            <w:pStyle w:val="Normal"/>
            <w:ind w:firstLine="709"/>
            <w:jc w:val="both"/>
            <w:rPr>
              <w:u w:val="single"/>
            </w:rPr>
          </w:pPr>
          <w:r>
            <w:rPr/>
            <w:t>2.</w:t>
            <w:tab/>
            <w:t xml:space="preserve">Проведение работы по обеспечению финансового наполнения муниципальных программ поддержки и развития малого и среднего предпринимательства за счет средств местных бюджетов.  </w:t>
          </w:r>
        </w:p>
        <w:p>
          <w:pPr>
            <w:pStyle w:val="Normal"/>
            <w:jc w:val="both"/>
            <w:rPr/>
          </w:pPr>
          <w:r>
            <w:rPr/>
          </w:r>
        </w:p>
        <w:p>
          <w:pPr>
            <w:pStyle w:val="Normal"/>
            <w:jc w:val="both"/>
            <w:rPr>
              <w:u w:val="single"/>
            </w:rPr>
          </w:pPr>
          <w:r>
            <w:rPr>
              <w:u w:val="single"/>
            </w:rPr>
          </w:r>
        </w:p>
        <w:p>
          <w:pPr>
            <w:pStyle w:val="Normal"/>
            <w:spacing w:before="0" w:after="120"/>
            <w:jc w:val="center"/>
            <w:rPr>
              <w:b/>
              <w:b/>
            </w:rPr>
          </w:pPr>
          <w:r>
            <w:rPr>
              <w:b/>
            </w:rPr>
            <w:t>Инвестиции</w:t>
          </w:r>
        </w:p>
        <w:p>
          <w:pPr>
            <w:pStyle w:val="ConsPlusNonformat"/>
            <w:ind w:firstLine="709"/>
            <w:jc w:val="both"/>
            <w:rPr>
              <w:rFonts w:ascii="Times New Roman" w:hAnsi="Times New Roman" w:cs="Times New Roman"/>
              <w:b/>
              <w:b/>
              <w:bCs/>
              <w:sz w:val="28"/>
              <w:szCs w:val="28"/>
            </w:rPr>
          </w:pPr>
          <w:r>
            <w:rPr>
              <w:rFonts w:cs="Times New Roman" w:ascii="Times New Roman" w:hAnsi="Times New Roman"/>
              <w:b/>
              <w:bCs/>
              <w:sz w:val="28"/>
              <w:szCs w:val="28"/>
            </w:rPr>
            <w:t>3. Объем инвестиций в основной капитал (за исключением бюджетных средств) в расчете на 1 жителя (рублей)</w:t>
          </w:r>
        </w:p>
        <w:p>
          <w:pPr>
            <w:pStyle w:val="Normal"/>
            <w:ind w:firstLine="720"/>
            <w:jc w:val="both"/>
            <w:rPr/>
          </w:pPr>
          <w:r>
            <w:rPr/>
            <w:t>По итогам 2019 года значение показателя в целом по области</w:t>
          </w:r>
          <w:r>
            <w:rPr>
              <w:b/>
            </w:rPr>
            <w:t xml:space="preserve"> </w:t>
          </w:r>
          <w:r>
            <w:rPr/>
            <w:t xml:space="preserve">составил 28,5 тыс. рублей (в 2018 году – 24,3 тыс. рублей в действующих ценах). </w:t>
          </w:r>
        </w:p>
        <w:p>
          <w:pPr>
            <w:pStyle w:val="Normal"/>
            <w:ind w:firstLine="697"/>
            <w:jc w:val="both"/>
            <w:rPr/>
          </w:pPr>
          <w:r>
            <w:rPr/>
            <w:t xml:space="preserve">Основными проблемами, тормозящие рост инвестиционной активности в регионе и снижающими инвестиционную привлекательность региона, являются недостаточное количество подготовленных земельных участков (инвестиционных площадок), обеспеченных объектами инженерной и транспортной инфраструктуры и предназначенных для размещения инвесторами объектов инвестиционной деятельности (промышленных объектов) и высокая стоимость подключения к инженерным сетям. Другой немаловажной проблемой для инвесторов и уже работающих предприятий является высокая стоимость электроэнергии. </w:t>
          </w:r>
        </w:p>
        <w:p>
          <w:pPr>
            <w:pStyle w:val="Normal"/>
            <w:ind w:firstLine="720"/>
            <w:jc w:val="both"/>
            <w:rPr/>
          </w:pPr>
          <w:r>
            <w:rPr/>
            <w:t xml:space="preserve">Инвестиционная политика Брянской области – одно из приоритетных направлений в стратегии социально-экономического развития региона - направлена на стимулирование инвестиционной деятельности в частности путем установления льгот и гарантий субъектам инвестиционной деятельности, осуществляемой в форме капитальных вложений. </w:t>
          </w:r>
        </w:p>
        <w:p>
          <w:pPr>
            <w:pStyle w:val="Normal"/>
            <w:tabs>
              <w:tab w:val="clear" w:pos="708"/>
              <w:tab w:val="left" w:pos="1080" w:leader="none"/>
            </w:tabs>
            <w:ind w:firstLine="720"/>
            <w:jc w:val="both"/>
            <w:rPr/>
          </w:pPr>
          <w:r>
            <w:rPr>
              <w:lang w:val="en-US"/>
            </w:rPr>
            <w:t>C</w:t>
          </w:r>
          <w:r>
            <w:rPr/>
            <w:t xml:space="preserve"> целью формирования благоприятного инвестиционного климата на территории Брянской области успешно реализуется государственная программа Брянской области «Экономическое развитие, инвестиционная политика и инновационная экономика Брянской области», утвержденная постановлением Правительства Брянской области от 27.12.2018 № 728-п. В состав указанной государственной программы входит соответствующая подпрограмма «Повышение инвестиционной привлекательности Брянской области». </w:t>
          </w:r>
        </w:p>
        <w:p>
          <w:pPr>
            <w:pStyle w:val="Normal"/>
            <w:shd w:val="clear" w:color="auto" w:fill="FFFFFF"/>
            <w:ind w:firstLine="708"/>
            <w:jc w:val="both"/>
            <w:rPr/>
          </w:pPr>
          <w:r>
            <w:rPr/>
            <w:t xml:space="preserve">Для ощутимого увеличения притока инвестиций необходимо сосредоточить работу на привлечении в регион крупных национальных и международных компаний. Для этих целей осуществляет свою деятельность государственное бюджетное учреждение «Агентство по сопровождению инвестиционных проектов». </w:t>
          </w:r>
        </w:p>
        <w:p>
          <w:pPr>
            <w:pStyle w:val="Normal"/>
            <w:ind w:firstLine="709"/>
            <w:jc w:val="both"/>
            <w:rPr/>
          </w:pPr>
          <w:r>
            <w:rPr/>
            <w:t>Инвестиционная привлекательность муниципальных образований Брянской области носит дифференцированный характер, так как инвестиционный климат в различных муниципальных образованиях области не одинаково благоприятен.</w:t>
          </w:r>
        </w:p>
        <w:p>
          <w:pPr>
            <w:pStyle w:val="Normal"/>
            <w:ind w:firstLine="709"/>
            <w:jc w:val="both"/>
            <w:rPr/>
          </w:pPr>
          <w:r>
            <w:rPr/>
            <w:t>Рост инвестиционной привлекательности, как правило, связан с близостью расположения к областному центру и размером муниципального образования (в небольших муниципальных образованиях трудовые ресурсы, их уровень образования, квалификации ограничены).</w:t>
          </w:r>
        </w:p>
        <w:p>
          <w:pPr>
            <w:pStyle w:val="Normal"/>
            <w:ind w:firstLine="709"/>
            <w:jc w:val="both"/>
            <w:rPr/>
          </w:pPr>
          <w:r>
            <w:rPr/>
            <w:t>Таким образом, по объёму инвестиций в основной капитал (за исключением бюджетных средств) в расчете на 1 жителя в 2019 году лидируют городские округа Брянск (34,2 тыс. рублей), а также Трубчевский (248,7 тыс. рублей), Севский (119,3 тыс. рублей), Суземский (81,7 тыс. Рублей) и Выгоничский (69,5 тыс. рублей) муниципальные районы.</w:t>
          </w:r>
        </w:p>
        <w:p>
          <w:pPr>
            <w:pStyle w:val="Normal"/>
            <w:ind w:firstLine="709"/>
            <w:jc w:val="both"/>
            <w:rPr/>
          </w:pPr>
          <w:r>
            <w:rPr/>
            <w:t xml:space="preserve">Наименьшее значение величины показателя «Объем инвестиций в основной капитал (за исключением бюджетных средств) в расчете на </w:t>
            <w:br/>
            <w:t>1 жителя» в 2019 году были отмечены в Рогнединском (133,5 рубля), Злынковском (420 рублей), Красногорском (535,6 рублей) муниципальных районах.</w:t>
          </w:r>
        </w:p>
        <w:p>
          <w:pPr>
            <w:pStyle w:val="Normal"/>
            <w:ind w:firstLine="709"/>
            <w:jc w:val="both"/>
            <w:rPr/>
          </w:pPr>
          <w:r>
            <w:rPr/>
          </w:r>
        </w:p>
        <w:p>
          <w:pPr>
            <w:pStyle w:val="Normal"/>
            <w:ind w:firstLine="709"/>
            <w:jc w:val="both"/>
            <w:rPr>
              <w:u w:val="single"/>
            </w:rPr>
          </w:pPr>
          <w:r>
            <w:rPr>
              <w:u w:val="single"/>
            </w:rPr>
            <w:t xml:space="preserve">Зоны, требующие приоритетного внимания органов местного самоуправления городских округов и муниципальных районов по разделу «Инвестиции» </w:t>
          </w:r>
        </w:p>
        <w:p>
          <w:pPr>
            <w:pStyle w:val="Normal"/>
            <w:tabs>
              <w:tab w:val="clear" w:pos="708"/>
              <w:tab w:val="left" w:pos="1080" w:leader="none"/>
            </w:tabs>
            <w:ind w:firstLine="709"/>
            <w:jc w:val="both"/>
            <w:rPr/>
          </w:pPr>
          <w:r>
            <w:rPr/>
            <w:t>1.</w:t>
            <w:tab/>
            <w:t>Инфраструктурные ограничения, которые являются основополагающим фактором при выборе площадок.</w:t>
          </w:r>
        </w:p>
        <w:p>
          <w:pPr>
            <w:pStyle w:val="Normal"/>
            <w:tabs>
              <w:tab w:val="clear" w:pos="708"/>
              <w:tab w:val="left" w:pos="1080" w:leader="none"/>
            </w:tabs>
            <w:ind w:firstLine="709"/>
            <w:jc w:val="both"/>
            <w:rPr/>
          </w:pPr>
          <w:r>
            <w:rPr/>
            <w:t>2.</w:t>
            <w:tab/>
            <w:t>Ограничения бюджета и недостаточная компетенция сотрудников при формировании органами местного самоуправления пакета инвестиционных проектов.</w:t>
          </w:r>
        </w:p>
        <w:p>
          <w:pPr>
            <w:pStyle w:val="Normal"/>
            <w:tabs>
              <w:tab w:val="clear" w:pos="708"/>
              <w:tab w:val="left" w:pos="1080" w:leader="none"/>
            </w:tabs>
            <w:ind w:firstLine="709"/>
            <w:jc w:val="both"/>
            <w:rPr/>
          </w:pPr>
          <w:r>
            <w:rPr/>
            <w:t>3.</w:t>
            <w:tab/>
            <w:t>Отсутствие программно-технических возможностей подготовки качественных информационных материалов для инвесторов.</w:t>
          </w:r>
        </w:p>
        <w:p>
          <w:pPr>
            <w:pStyle w:val="Normal"/>
            <w:tabs>
              <w:tab w:val="clear" w:pos="708"/>
              <w:tab w:val="left" w:pos="1080" w:leader="none"/>
            </w:tabs>
            <w:ind w:firstLine="709"/>
            <w:jc w:val="both"/>
            <w:rPr/>
          </w:pPr>
          <w:r>
            <w:rPr/>
            <w:t>4.</w:t>
            <w:tab/>
            <w:t>Сложности, связанные с выявлением невостребованных земельных участков.</w:t>
          </w:r>
        </w:p>
        <w:p>
          <w:pPr>
            <w:pStyle w:val="Normal"/>
            <w:tabs>
              <w:tab w:val="clear" w:pos="708"/>
              <w:tab w:val="left" w:pos="1080" w:leader="none"/>
            </w:tabs>
            <w:ind w:firstLine="709"/>
            <w:jc w:val="both"/>
            <w:rPr/>
          </w:pPr>
          <w:r>
            <w:rPr/>
          </w:r>
        </w:p>
        <w:p>
          <w:pPr>
            <w:pStyle w:val="Normal"/>
            <w:ind w:firstLine="709"/>
            <w:jc w:val="center"/>
            <w:rPr>
              <w:u w:val="single"/>
            </w:rPr>
          </w:pPr>
          <w:r>
            <w:rPr>
              <w:bCs/>
              <w:u w:val="single"/>
            </w:rPr>
            <w:t>Перечень мероприятий по повышению результативности деятельности органов местного самоуправления</w:t>
          </w:r>
          <w:r>
            <w:rPr>
              <w:u w:val="single"/>
            </w:rPr>
            <w:t xml:space="preserve"> городских округов и муниципальных районов по разделу «Инвестиции»</w:t>
          </w:r>
        </w:p>
        <w:p>
          <w:pPr>
            <w:pStyle w:val="Normal"/>
            <w:ind w:firstLine="709"/>
            <w:jc w:val="both"/>
            <w:rPr/>
          </w:pPr>
          <w:r>
            <w:rPr/>
          </w:r>
        </w:p>
        <w:p>
          <w:pPr>
            <w:pStyle w:val="Normal"/>
            <w:tabs>
              <w:tab w:val="clear" w:pos="708"/>
              <w:tab w:val="left" w:pos="1080" w:leader="none"/>
            </w:tabs>
            <w:ind w:firstLine="709"/>
            <w:jc w:val="both"/>
            <w:rPr>
              <w:rFonts w:ascii="Verdana" w:hAnsi="Verdana"/>
              <w:sz w:val="18"/>
              <w:szCs w:val="18"/>
            </w:rPr>
          </w:pPr>
          <w:r>
            <w:rPr/>
            <w:t>1.</w:t>
            <w:tab/>
            <w:t>Активное вовлечение в хозяйственный оборот невостребованных земельных участков и признание права собственности муниципалитета на них.</w:t>
          </w:r>
        </w:p>
        <w:p>
          <w:pPr>
            <w:pStyle w:val="Normal"/>
            <w:tabs>
              <w:tab w:val="clear" w:pos="708"/>
              <w:tab w:val="left" w:pos="1080" w:leader="none"/>
            </w:tabs>
            <w:ind w:firstLine="709"/>
            <w:jc w:val="both"/>
            <w:rPr/>
          </w:pPr>
          <w:r>
            <w:rPr/>
            <w:t>2.</w:t>
            <w:tab/>
            <w:t>Сотрудничество администрации муниципального образования с инвесторами.</w:t>
          </w:r>
        </w:p>
        <w:p>
          <w:pPr>
            <w:pStyle w:val="Normal"/>
            <w:tabs>
              <w:tab w:val="clear" w:pos="708"/>
              <w:tab w:val="left" w:pos="0" w:leader="none"/>
            </w:tabs>
            <w:spacing w:before="0" w:after="0"/>
            <w:ind w:firstLine="709"/>
            <w:contextualSpacing/>
            <w:jc w:val="both"/>
            <w:rPr/>
          </w:pPr>
          <w:r>
            <w:rPr/>
            <w:t>3. Информирование инвесторов о мерах государственной поддержки, оказываемых на муниципальном и областном уровнях.</w:t>
          </w:r>
        </w:p>
        <w:p>
          <w:pPr>
            <w:pStyle w:val="Normal"/>
            <w:tabs>
              <w:tab w:val="clear" w:pos="708"/>
              <w:tab w:val="left" w:pos="0" w:leader="none"/>
            </w:tabs>
            <w:spacing w:before="0" w:after="0"/>
            <w:ind w:firstLine="709"/>
            <w:contextualSpacing/>
            <w:jc w:val="both"/>
            <w:rPr/>
          </w:pPr>
          <w:r>
            <w:rPr/>
            <w:t>4. Публикация на портале муниципального образования изменений в инвестиционном и налоговом законодательстве.</w:t>
          </w:r>
        </w:p>
        <w:p>
          <w:pPr>
            <w:pStyle w:val="Normal"/>
            <w:tabs>
              <w:tab w:val="clear" w:pos="708"/>
              <w:tab w:val="left" w:pos="0" w:leader="none"/>
            </w:tabs>
            <w:spacing w:before="0" w:after="0"/>
            <w:ind w:firstLine="709"/>
            <w:contextualSpacing/>
            <w:jc w:val="both"/>
            <w:rPr/>
          </w:pPr>
          <w:r>
            <w:rPr/>
          </w:r>
        </w:p>
        <w:p>
          <w:pPr>
            <w:pStyle w:val="Style39"/>
            <w:suppressAutoHyphens w:val="true"/>
            <w:ind w:left="0" w:firstLine="709"/>
            <w:jc w:val="center"/>
            <w:rPr>
              <w:b/>
              <w:b/>
              <w:sz w:val="28"/>
              <w:szCs w:val="28"/>
            </w:rPr>
          </w:pPr>
          <w:r>
            <w:rPr>
              <w:b/>
              <w:sz w:val="28"/>
              <w:szCs w:val="28"/>
            </w:rPr>
            <w:t>Налогооблагаемая база</w:t>
          </w:r>
        </w:p>
        <w:p>
          <w:pPr>
            <w:pStyle w:val="ListParagraph"/>
            <w:spacing w:lineRule="auto" w:line="240" w:before="0" w:after="120"/>
            <w:ind w:left="0" w:firstLine="709"/>
            <w:contextualSpacing/>
            <w:jc w:val="both"/>
            <w:rPr>
              <w:rFonts w:ascii="Times New Roman" w:hAnsi="Times New Roman"/>
              <w:b/>
              <w:b/>
              <w:sz w:val="28"/>
              <w:szCs w:val="28"/>
            </w:rPr>
          </w:pPr>
          <w:r>
            <w:rPr>
              <w:rFonts w:ascii="Times New Roman" w:hAnsi="Times New Roman"/>
              <w:b/>
              <w:sz w:val="28"/>
              <w:szCs w:val="28"/>
            </w:rPr>
            <w:t>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(процентов)</w:t>
          </w:r>
        </w:p>
        <w:p>
          <w:pPr>
            <w:pStyle w:val="Normal"/>
            <w:ind w:firstLine="709"/>
            <w:jc w:val="both"/>
            <w:rPr/>
          </w:pPr>
          <w:r>
            <w:rPr/>
            <w:t xml:space="preserve">Значение показателя в 2019 году по сравнению с предыдущим годом возросло в целом по области на 0,1%. Положительная динамика наблюдается в 22 муниципальных образованиях области. Наибольшее значение данного показателя </w:t>
            <w:br/>
            <w:t xml:space="preserve">в Стародубском муниципальном округе (75%),  Почепском 98,9%), Суражском (97%), Комаричском (93,1%), Брасовском (92,2%), муниципальных районах. </w:t>
          </w:r>
        </w:p>
        <w:p>
          <w:pPr>
            <w:pStyle w:val="Normal"/>
            <w:ind w:firstLine="709"/>
            <w:jc w:val="both"/>
            <w:rPr/>
          </w:pPr>
          <w:r>
            <w:rPr/>
            <w:t xml:space="preserve">Наибольший рост показателя в 2019 году отмечен в Севском (2,5 процентных пункта) и Суземском (2,3 процентных пункта) муниципальных районах. </w:t>
          </w:r>
        </w:p>
        <w:p>
          <w:pPr>
            <w:pStyle w:val="Normal"/>
            <w:ind w:firstLine="709"/>
            <w:jc w:val="both"/>
            <w:rPr/>
          </w:pPr>
          <w:r>
            <w:rPr/>
            <w:t>В основном, рост значений показателя обусловлен приобретением земельных участков в собственность, регистрацией ранее учтенных земельных участков, а также переоформлением права аренды земельных участков на право собственности, оформлением прав на земельные участки, используемые без титула права.</w:t>
          </w:r>
          <w:r>
            <w:rPr>
              <w:i/>
            </w:rPr>
            <w:t xml:space="preserve"> </w:t>
          </w:r>
        </w:p>
        <w:p>
          <w:pPr>
            <w:pStyle w:val="Normal"/>
            <w:ind w:firstLine="709"/>
            <w:jc w:val="both"/>
            <w:rPr/>
          </w:pPr>
          <w:r>
            <w:rPr/>
            <w:t xml:space="preserve">В целях увеличения собственной доходной базы органами местного самоуправления муниципальных образований Брянской области проводятся мероприятия в области муниципального контроля в части выявления земельных участков, используемых без титула права. Пользователям земельных участков органами местного самоуправления муниципальных образований Брянской области даются соответствующие разъяснения, направляются уведомления об оформлении прав на земельные участки. </w:t>
          </w:r>
        </w:p>
        <w:p>
          <w:pPr>
            <w:pStyle w:val="Normal"/>
            <w:ind w:firstLine="709"/>
            <w:jc w:val="both"/>
            <w:rPr/>
          </w:pPr>
          <w:r>
            <w:rPr/>
            <w:t xml:space="preserve">В 2019  отмечено снижение показателя в Унечском (на 8,07 процентных пункта) Красногорском муниципальном районе (на 4,5 процентных пункта), городском округе Сельцо (на 2,7 процентных пункта), что связано с отказом владельцев участков от прав собственности на земельные участки, а также с признанием права муниципальной собственности на невостребованные земельные паи из земель сельскохозяйственного назначения, ранее находившиеся в частной собственности. </w:t>
          </w:r>
        </w:p>
        <w:p>
          <w:pPr>
            <w:pStyle w:val="Normal"/>
            <w:ind w:firstLine="709"/>
            <w:jc w:val="both"/>
            <w:rPr/>
          </w:pPr>
          <w:r>
            <w:rPr/>
          </w:r>
        </w:p>
        <w:p>
          <w:pPr>
            <w:pStyle w:val="Normal"/>
            <w:jc w:val="center"/>
            <w:rPr>
              <w:u w:val="single"/>
            </w:rPr>
          </w:pPr>
          <w:r>
            <w:rPr>
              <w:u w:val="single"/>
            </w:rPr>
            <w:t>Зоны, требующие приоритетного внимания органов местного самоуправления городских округов и муниципальных районов по разделу «Налогооблагаемая база»</w:t>
          </w:r>
        </w:p>
        <w:p>
          <w:pPr>
            <w:pStyle w:val="Normal"/>
            <w:numPr>
              <w:ilvl w:val="0"/>
              <w:numId w:val="15"/>
            </w:numPr>
            <w:spacing w:before="0" w:after="0"/>
            <w:ind w:left="0" w:firstLine="709"/>
            <w:contextualSpacing/>
            <w:jc w:val="both"/>
            <w:rPr/>
          </w:pPr>
          <w:r>
            <w:rPr/>
            <w:t xml:space="preserve">Вовлечение в оборот неиспользуемых земельных участков, особенно сельскохозяйственных угодий. </w:t>
          </w:r>
        </w:p>
        <w:p>
          <w:pPr>
            <w:pStyle w:val="Normal"/>
            <w:numPr>
              <w:ilvl w:val="0"/>
              <w:numId w:val="15"/>
            </w:numPr>
            <w:spacing w:before="0" w:after="0"/>
            <w:ind w:left="0" w:firstLine="709"/>
            <w:contextualSpacing/>
            <w:jc w:val="both"/>
            <w:rPr/>
          </w:pPr>
          <w:r>
            <w:rPr/>
            <w:t>Оформление прав граждан и юридических лиц на земельные участки, используемые без титула права.</w:t>
          </w:r>
        </w:p>
        <w:p>
          <w:pPr>
            <w:pStyle w:val="Normal"/>
            <w:numPr>
              <w:ilvl w:val="0"/>
              <w:numId w:val="15"/>
            </w:numPr>
            <w:spacing w:before="0" w:after="0"/>
            <w:ind w:left="0" w:firstLine="709"/>
            <w:contextualSpacing/>
            <w:jc w:val="both"/>
            <w:rPr>
              <w:i/>
              <w:i/>
            </w:rPr>
          </w:pPr>
          <w:r>
            <w:rPr/>
            <w:t>Создание благоприятных условий для взаимодействия и межведомственного сотрудничества органов местного самоуправления, налоговых органов, частных и ведомственных государственных структур</w:t>
          </w:r>
          <w:r>
            <w:rPr>
              <w:i/>
            </w:rPr>
            <w:t>.</w:t>
          </w:r>
        </w:p>
        <w:p>
          <w:pPr>
            <w:pStyle w:val="Normal"/>
            <w:ind w:firstLine="709"/>
            <w:jc w:val="both"/>
            <w:rPr/>
          </w:pPr>
          <w:r>
            <w:rPr/>
          </w:r>
        </w:p>
        <w:p>
          <w:pPr>
            <w:pStyle w:val="Normal"/>
            <w:jc w:val="center"/>
            <w:rPr>
              <w:bCs/>
              <w:u w:val="single"/>
            </w:rPr>
          </w:pPr>
          <w:r>
            <w:rPr>
              <w:bCs/>
              <w:u w:val="single"/>
            </w:rPr>
            <w:t>Перечень мероприятий по повышению результативности деятельности органов местного самоуправления</w:t>
          </w:r>
          <w:r>
            <w:rPr>
              <w:u w:val="single"/>
            </w:rPr>
            <w:t xml:space="preserve"> городских округов и муниципальных районов по разделу «Налогооблагаемая база»</w:t>
          </w:r>
        </w:p>
        <w:p>
          <w:pPr>
            <w:pStyle w:val="Normal"/>
            <w:ind w:firstLine="709"/>
            <w:jc w:val="center"/>
            <w:rPr>
              <w:b/>
              <w:b/>
            </w:rPr>
          </w:pPr>
          <w:r>
            <w:rPr>
              <w:b/>
            </w:rPr>
          </w:r>
        </w:p>
        <w:p>
          <w:pPr>
            <w:pStyle w:val="Normal"/>
            <w:jc w:val="both"/>
            <w:rPr/>
          </w:pPr>
          <w:r>
            <w:rPr/>
            <w:tab/>
            <w:t>1. Работа с физическими и юридическими лицами по оформлению прав на земельные участки, используемые без титула права.</w:t>
          </w:r>
        </w:p>
        <w:p>
          <w:pPr>
            <w:pStyle w:val="Normal"/>
            <w:jc w:val="both"/>
            <w:rPr/>
          </w:pPr>
          <w:r>
            <w:rPr/>
            <w:tab/>
            <w:t>2. Проведение мониторинга свободных земельных участков, которые могут быть предоставлены под строительство.</w:t>
          </w:r>
        </w:p>
        <w:p>
          <w:pPr>
            <w:pStyle w:val="Normal"/>
            <w:spacing w:before="0" w:after="0"/>
            <w:contextualSpacing/>
            <w:jc w:val="both"/>
            <w:rPr/>
          </w:pPr>
          <w:r>
            <w:rPr/>
            <w:tab/>
            <w:t>3. Формирование и предоставление земельных участков:</w:t>
          </w:r>
        </w:p>
        <w:p>
          <w:pPr>
            <w:pStyle w:val="Normal"/>
            <w:spacing w:before="0" w:after="0"/>
            <w:contextualSpacing/>
            <w:jc w:val="both"/>
            <w:rPr/>
          </w:pPr>
          <w:r>
            <w:rPr/>
            <w:t>- семьям, имеющим трех и более детей;</w:t>
          </w:r>
        </w:p>
        <w:p>
          <w:pPr>
            <w:pStyle w:val="Normal"/>
            <w:jc w:val="both"/>
            <w:rPr/>
          </w:pPr>
          <w:r>
            <w:rPr/>
            <w:t>- под строительство в соответствии с утвержденными генеральными планами городских округов, городских и сельских поселений муниципальных районов.</w:t>
          </w:r>
        </w:p>
        <w:p>
          <w:pPr>
            <w:pStyle w:val="Normal"/>
            <w:ind w:firstLine="709"/>
            <w:jc w:val="both"/>
            <w:rPr/>
          </w:pPr>
          <w:r>
            <w:rPr/>
          </w:r>
        </w:p>
        <w:p>
          <w:pPr>
            <w:pStyle w:val="Normal"/>
            <w:tabs>
              <w:tab w:val="clear" w:pos="708"/>
              <w:tab w:val="left" w:pos="1080" w:leader="none"/>
            </w:tabs>
            <w:jc w:val="center"/>
            <w:rPr>
              <w:b/>
              <w:b/>
            </w:rPr>
          </w:pPr>
          <w:r>
            <w:rPr>
              <w:b/>
            </w:rPr>
            <w:t>Сельское хозяйство</w:t>
          </w:r>
        </w:p>
        <w:p>
          <w:pPr>
            <w:pStyle w:val="Normal"/>
            <w:tabs>
              <w:tab w:val="clear" w:pos="708"/>
              <w:tab w:val="left" w:pos="9900" w:leader="none"/>
            </w:tabs>
            <w:ind w:firstLine="720"/>
            <w:jc w:val="center"/>
            <w:rPr>
              <w:b/>
              <w:b/>
            </w:rPr>
          </w:pPr>
          <w:r>
            <w:rPr>
              <w:b/>
            </w:rPr>
          </w:r>
        </w:p>
        <w:p>
          <w:pPr>
            <w:pStyle w:val="Normal"/>
            <w:tabs>
              <w:tab w:val="clear" w:pos="708"/>
              <w:tab w:val="left" w:pos="1080" w:leader="none"/>
            </w:tabs>
            <w:ind w:firstLine="567"/>
            <w:jc w:val="both"/>
            <w:rPr>
              <w:b/>
              <w:b/>
              <w:bCs/>
            </w:rPr>
          </w:pPr>
          <w:r>
            <w:rPr>
              <w:b/>
              <w:bCs/>
            </w:rPr>
            <w:t>5. Доля прибыльных сельскохозяйственных организаций в общем их числе (процентов)</w:t>
          </w:r>
        </w:p>
        <w:p>
          <w:pPr>
            <w:pStyle w:val="Normal"/>
            <w:tabs>
              <w:tab w:val="clear" w:pos="708"/>
              <w:tab w:val="left" w:pos="0" w:leader="none"/>
            </w:tabs>
            <w:ind w:firstLine="720"/>
            <w:jc w:val="both"/>
            <w:rPr>
              <w:color w:val="000000"/>
            </w:rPr>
          </w:pPr>
          <w:r>
            <w:rPr>
              <w:color w:val="000000"/>
            </w:rPr>
            <w:t>Наибольшее количество прибыльных сельскохозяйственных организаций отмечается в Шуйском районе – 11, Лухском - 7, Гаврилово-Посадском, Комсомольском, Родниковском и Савинском районах – по 6.</w:t>
          </w:r>
        </w:p>
        <w:p>
          <w:pPr>
            <w:pStyle w:val="Normal"/>
            <w:tabs>
              <w:tab w:val="clear" w:pos="708"/>
              <w:tab w:val="left" w:pos="0" w:leader="none"/>
            </w:tabs>
            <w:ind w:firstLine="720"/>
            <w:jc w:val="both"/>
            <w:rPr>
              <w:color w:val="000000"/>
            </w:rPr>
          </w:pPr>
          <w:r>
            <w:rPr>
              <w:color w:val="000000"/>
            </w:rPr>
            <w:t xml:space="preserve">В 2019 году значение показателя составило по области 82,3%, что на 4,4 процентных пункта выше уровня 2018 года. </w:t>
          </w:r>
        </w:p>
        <w:p>
          <w:pPr>
            <w:pStyle w:val="Normal"/>
            <w:tabs>
              <w:tab w:val="clear" w:pos="708"/>
              <w:tab w:val="left" w:pos="0" w:leader="none"/>
            </w:tabs>
            <w:ind w:firstLine="720"/>
            <w:jc w:val="both"/>
            <w:rPr>
              <w:color w:val="000000"/>
            </w:rPr>
          </w:pPr>
          <w:r>
            <w:rPr>
              <w:color w:val="000000"/>
            </w:rPr>
            <w:t>В отчетном периоде значение данного показателя составляет 100% и превышает средний показатель по области в 10 муниципальных районах Брянской области: Гордеевском, Дубровском, Жирятинском, Жуковском, Злынковском, Клетнянском, Комаричском, Суземском и Унечском.</w:t>
          </w:r>
        </w:p>
        <w:p>
          <w:pPr>
            <w:pStyle w:val="Normal"/>
            <w:tabs>
              <w:tab w:val="clear" w:pos="708"/>
              <w:tab w:val="left" w:pos="0" w:leader="none"/>
            </w:tabs>
            <w:ind w:firstLine="720"/>
            <w:jc w:val="both"/>
            <w:rPr/>
          </w:pPr>
          <w:r>
            <w:rPr/>
            <w:t>По итогам 2019 года рост данного показателя отмечается</w:t>
            <w:br/>
            <w:t>в 11 муниципальных районах: в Жуковском (на 57 п.п.), Клетнянском</w:t>
            <w:br/>
            <w:t>(на 50 п.п.), Суземском и Дубровском (на 33 п.п.) районах.</w:t>
          </w:r>
        </w:p>
        <w:p>
          <w:pPr>
            <w:pStyle w:val="Normal"/>
            <w:tabs>
              <w:tab w:val="clear" w:pos="708"/>
              <w:tab w:val="left" w:pos="0" w:leader="none"/>
            </w:tabs>
            <w:ind w:firstLine="720"/>
            <w:jc w:val="both"/>
            <w:rPr>
              <w:color w:val="000000"/>
            </w:rPr>
          </w:pPr>
          <w:r>
            <w:rPr>
              <w:color w:val="000000"/>
            </w:rPr>
            <w:t>Гордеевский, Жирятинский, Злынковский, Комаричский, Красногорский, Рогнединский, Суражский и Унечский районы в 2019 году сработали на уровне 2018 года.</w:t>
          </w:r>
        </w:p>
        <w:p>
          <w:pPr>
            <w:pStyle w:val="Normal"/>
            <w:tabs>
              <w:tab w:val="clear" w:pos="708"/>
              <w:tab w:val="left" w:pos="0" w:leader="none"/>
            </w:tabs>
            <w:ind w:firstLine="720"/>
            <w:jc w:val="both"/>
            <w:rPr/>
          </w:pPr>
          <w:r>
            <w:rPr/>
            <w:t>Снижение показателя зафиксировано в Брасовском районе – 50 п.п., Дятьковском районе – 25 п.п., Трубчевском районе – 13 п.п..</w:t>
          </w:r>
        </w:p>
        <w:p>
          <w:pPr>
            <w:pStyle w:val="Normal"/>
            <w:tabs>
              <w:tab w:val="clear" w:pos="708"/>
              <w:tab w:val="left" w:pos="1080" w:leader="none"/>
            </w:tabs>
            <w:ind w:right="-2" w:firstLine="720"/>
            <w:jc w:val="both"/>
            <w:rPr/>
          </w:pPr>
          <w:r>
            <w:rPr/>
            <w:t>Причины снижения показателя в большинстве муниципальных районов:</w:t>
          </w:r>
        </w:p>
        <w:p>
          <w:pPr>
            <w:pStyle w:val="Normal"/>
            <w:ind w:right="-2" w:firstLine="709"/>
            <w:jc w:val="both"/>
            <w:rPr/>
          </w:pPr>
          <w:r>
            <w:rPr>
              <w:lang w:eastAsia="en-US"/>
            </w:rPr>
            <w:t>сокращение посевных площадей в личных подсобных хозяйствах, а также</w:t>
          </w:r>
          <w:r>
            <w:rPr/>
            <w:t xml:space="preserve"> в результате прекращения производственной деятельности отдельных сельскохозяйственных организаций и фермерских хозяйств</w:t>
          </w:r>
          <w:r>
            <w:rPr>
              <w:lang w:eastAsia="en-US"/>
            </w:rPr>
            <w:t>;</w:t>
          </w:r>
        </w:p>
        <w:p>
          <w:pPr>
            <w:pStyle w:val="Normal"/>
            <w:ind w:left="709" w:right="-2" w:hanging="0"/>
            <w:jc w:val="both"/>
            <w:rPr/>
          </w:pPr>
          <w:r>
            <w:rPr>
              <w:lang w:eastAsia="en-US"/>
            </w:rPr>
            <w:t>нестабильность рынка сырого молока;</w:t>
          </w:r>
        </w:p>
        <w:p>
          <w:pPr>
            <w:pStyle w:val="Normal"/>
            <w:ind w:left="709" w:right="-2" w:hanging="0"/>
            <w:jc w:val="both"/>
            <w:rPr/>
          </w:pPr>
          <w:r>
            <w:rPr/>
            <w:t>удорожание материально-технических ресурсов;</w:t>
          </w:r>
        </w:p>
        <w:p>
          <w:pPr>
            <w:pStyle w:val="Normal"/>
            <w:ind w:right="-2" w:firstLine="709"/>
            <w:jc w:val="both"/>
            <w:rPr/>
          </w:pPr>
          <w:r>
            <w:rPr/>
            <w:t>изменчивость погоды и перепады температур в период сева и вегетации зерновых культур;</w:t>
          </w:r>
        </w:p>
        <w:p>
          <w:pPr>
            <w:pStyle w:val="Normal"/>
            <w:widowControl w:val="false"/>
            <w:ind w:right="-2" w:firstLine="709"/>
            <w:jc w:val="both"/>
            <w:rPr/>
          </w:pPr>
          <w:r>
            <w:rPr/>
            <w:t>недостаток финансовых средств сельскохозяйственных товаропроизводителей, в том числе на приобретение сортовых семян и минеральных удобрений;</w:t>
          </w:r>
        </w:p>
        <w:p>
          <w:pPr>
            <w:pStyle w:val="Normal"/>
            <w:ind w:right="-2" w:firstLine="709"/>
            <w:jc w:val="both"/>
            <w:rPr/>
          </w:pPr>
          <w:r>
            <w:rPr>
              <w:szCs w:val="24"/>
            </w:rPr>
            <w:t>снижение поголовья крупного рогатого скота</w:t>
          </w:r>
          <w:r>
            <w:rPr/>
            <w:t>, в том числе дойного стада в сельскохозяйственных организациях с низким уровнем финансовой устойчивости, а также в личных подворьях;</w:t>
          </w:r>
        </w:p>
        <w:p>
          <w:pPr>
            <w:pStyle w:val="Normal"/>
            <w:ind w:left="709" w:right="-2" w:hanging="0"/>
            <w:jc w:val="both"/>
            <w:rPr/>
          </w:pPr>
          <w:r>
            <w:rPr/>
            <w:t>отсутствие рынков сбыта сельскохозяйственной продукции.</w:t>
          </w:r>
        </w:p>
        <w:p>
          <w:pPr>
            <w:pStyle w:val="Normal"/>
            <w:tabs>
              <w:tab w:val="clear" w:pos="708"/>
              <w:tab w:val="left" w:pos="1080" w:leader="none"/>
            </w:tabs>
            <w:ind w:firstLine="720"/>
            <w:jc w:val="both"/>
            <w:rPr/>
          </w:pPr>
          <w:r>
            <w:rPr>
              <w:color w:val="000000"/>
            </w:rPr>
            <w:t xml:space="preserve">Данный показатель не в полной мере отражает оценку </w:t>
          </w:r>
          <w:r>
            <w:rPr/>
            <w:t>эффективности деятельности органов местного самоуправления городских округов и муниципальных районов Брянской области, поскольку не учитывает уровень развития сельских территорий, ресурсный и производственный потенциал сельскохозяйственных товаропроизводителей в муниципалитетах.</w:t>
          </w:r>
        </w:p>
        <w:p>
          <w:pPr>
            <w:pStyle w:val="Normal"/>
            <w:spacing w:before="120" w:after="120"/>
            <w:jc w:val="center"/>
            <w:rPr>
              <w:u w:val="single"/>
            </w:rPr>
          </w:pPr>
          <w:r>
            <w:rPr>
              <w:u w:val="single"/>
            </w:rPr>
            <w:t>Зоны, требующие приоритетного внимания органов местного самоуправления городских округов и муниципальных районов Брянской области по направлению «Сельское хозяйство»</w:t>
          </w:r>
        </w:p>
        <w:p>
          <w:pPr>
            <w:pStyle w:val="Normal"/>
            <w:numPr>
              <w:ilvl w:val="0"/>
              <w:numId w:val="23"/>
            </w:numPr>
            <w:tabs>
              <w:tab w:val="clear" w:pos="708"/>
              <w:tab w:val="left" w:pos="1134" w:leader="none"/>
            </w:tabs>
            <w:ind w:left="0" w:firstLine="709"/>
            <w:jc w:val="both"/>
            <w:rPr/>
          </w:pPr>
          <w:r>
            <w:rPr/>
            <w:t>Сохранение экономического потенциала сельскохозяйственных товаропроизводителей, дальнейшее техническое и технологическое переоснащение сельскохозяйственного производства.</w:t>
          </w:r>
        </w:p>
        <w:p>
          <w:pPr>
            <w:pStyle w:val="Normal"/>
            <w:numPr>
              <w:ilvl w:val="0"/>
              <w:numId w:val="23"/>
            </w:numPr>
            <w:tabs>
              <w:tab w:val="clear" w:pos="708"/>
              <w:tab w:val="left" w:pos="1134" w:leader="none"/>
            </w:tabs>
            <w:ind w:left="0" w:firstLine="709"/>
            <w:jc w:val="both"/>
            <w:rPr/>
          </w:pPr>
          <w:r>
            <w:rPr/>
            <w:t>Повышение эффективности использования государственной поддержки.</w:t>
          </w:r>
        </w:p>
        <w:p>
          <w:pPr>
            <w:pStyle w:val="Normal"/>
            <w:numPr>
              <w:ilvl w:val="0"/>
              <w:numId w:val="23"/>
            </w:numPr>
            <w:tabs>
              <w:tab w:val="clear" w:pos="708"/>
              <w:tab w:val="left" w:pos="1134" w:leader="none"/>
            </w:tabs>
            <w:ind w:left="0" w:firstLine="709"/>
            <w:jc w:val="both"/>
            <w:rPr/>
          </w:pPr>
          <w:r>
            <w:rPr/>
            <w:t>Рост инвестиционной активности в отрасли.</w:t>
          </w:r>
        </w:p>
        <w:p>
          <w:pPr>
            <w:pStyle w:val="Normal"/>
            <w:numPr>
              <w:ilvl w:val="0"/>
              <w:numId w:val="23"/>
            </w:numPr>
            <w:tabs>
              <w:tab w:val="clear" w:pos="708"/>
              <w:tab w:val="left" w:pos="1134" w:leader="none"/>
            </w:tabs>
            <w:ind w:left="0" w:firstLine="709"/>
            <w:jc w:val="both"/>
            <w:rPr/>
          </w:pPr>
          <w:r>
            <w:rPr/>
            <w:t>Развитие малых форм хозяйствования и сельскохозяйственной потребительской кооперации, в том числе развитие материально-технической базы сельскохозяйственных потребительских кооперативов.</w:t>
          </w:r>
        </w:p>
        <w:p>
          <w:pPr>
            <w:pStyle w:val="Normal"/>
            <w:numPr>
              <w:ilvl w:val="0"/>
              <w:numId w:val="23"/>
            </w:numPr>
            <w:tabs>
              <w:tab w:val="clear" w:pos="708"/>
              <w:tab w:val="left" w:pos="1134" w:leader="none"/>
            </w:tabs>
            <w:ind w:left="0" w:firstLine="709"/>
            <w:jc w:val="both"/>
            <w:rPr/>
          </w:pPr>
          <w:r>
            <w:rPr/>
            <w:t>Проведение обследования земель сельскохозяйственного назначения и составление реестров неиспользуемых земельных участков из земель сельскохозяйственного назначения.</w:t>
          </w:r>
        </w:p>
        <w:p>
          <w:pPr>
            <w:pStyle w:val="Normal"/>
            <w:numPr>
              <w:ilvl w:val="0"/>
              <w:numId w:val="23"/>
            </w:numPr>
            <w:tabs>
              <w:tab w:val="clear" w:pos="708"/>
              <w:tab w:val="left" w:pos="1134" w:leader="none"/>
            </w:tabs>
            <w:ind w:left="0" w:firstLine="709"/>
            <w:jc w:val="both"/>
            <w:rPr/>
          </w:pPr>
          <w:r>
            <w:rPr/>
            <w:t xml:space="preserve">Оформление в муниципальную собственность земельных долей, которые признаны невостребованными в соответствии с Федеральным </w:t>
          </w:r>
          <w:hyperlink r:id="rId3">
            <w:r>
              <w:rPr/>
              <w:t>законом</w:t>
            </w:r>
          </w:hyperlink>
          <w:r>
            <w:rPr/>
            <w:t xml:space="preserve"> от 24.07.2002 № 101-ФЗ «Об обороте земель сельскохозяйственного назначения».</w:t>
          </w:r>
        </w:p>
        <w:p>
          <w:pPr>
            <w:pStyle w:val="Normal"/>
            <w:numPr>
              <w:ilvl w:val="0"/>
              <w:numId w:val="23"/>
            </w:numPr>
            <w:tabs>
              <w:tab w:val="clear" w:pos="708"/>
              <w:tab w:val="left" w:pos="1134" w:leader="none"/>
            </w:tabs>
            <w:ind w:left="0" w:firstLine="709"/>
            <w:jc w:val="both"/>
            <w:rPr/>
          </w:pPr>
          <w:r>
            <w:rPr/>
            <w:t>Целевое использование земель сельскохозяйственного назначения, вовлечение в оборот земель сельскохозяйственного назначения, полученных путем признания права собственности на них органов местного самоуправления муниципальных образований Брянской области.</w:t>
          </w:r>
        </w:p>
        <w:p>
          <w:pPr>
            <w:pStyle w:val="Normal"/>
            <w:numPr>
              <w:ilvl w:val="0"/>
              <w:numId w:val="23"/>
            </w:numPr>
            <w:tabs>
              <w:tab w:val="clear" w:pos="708"/>
              <w:tab w:val="left" w:pos="1134" w:leader="none"/>
            </w:tabs>
            <w:ind w:left="0" w:firstLine="709"/>
            <w:jc w:val="both"/>
            <w:rPr/>
          </w:pPr>
          <w:r>
            <w:rPr/>
            <w:t>Сохранение и увеличение рабочих мест, а также создание высокопроизводительных рабочих мест в сельскохозяйственном производстве.</w:t>
          </w:r>
        </w:p>
        <w:p>
          <w:pPr>
            <w:pStyle w:val="Normal"/>
            <w:numPr>
              <w:ilvl w:val="0"/>
              <w:numId w:val="23"/>
            </w:numPr>
            <w:tabs>
              <w:tab w:val="clear" w:pos="708"/>
              <w:tab w:val="left" w:pos="1134" w:leader="none"/>
            </w:tabs>
            <w:ind w:left="0" w:firstLine="709"/>
            <w:jc w:val="both"/>
            <w:rPr/>
          </w:pPr>
          <w:r>
            <w:rPr/>
            <w:t>Повышение социального уровня жизни сельского населения.</w:t>
          </w:r>
        </w:p>
        <w:p>
          <w:pPr>
            <w:pStyle w:val="Normal"/>
            <w:numPr>
              <w:ilvl w:val="0"/>
              <w:numId w:val="23"/>
            </w:numPr>
            <w:tabs>
              <w:tab w:val="clear" w:pos="708"/>
              <w:tab w:val="left" w:pos="1134" w:leader="none"/>
            </w:tabs>
            <w:ind w:left="-6" w:right="-6" w:firstLine="709"/>
            <w:jc w:val="both"/>
            <w:rPr/>
          </w:pPr>
          <w:r>
            <w:rPr/>
            <w:t xml:space="preserve">Социальное и инфраструктурное развитие сельских территорий, </w:t>
            <w:br/>
            <w:t>в том числе строительство спортивных сооружений и поддержка местных инициатив граждан.</w:t>
          </w:r>
        </w:p>
        <w:p>
          <w:pPr>
            <w:pStyle w:val="Normal"/>
            <w:tabs>
              <w:tab w:val="clear" w:pos="708"/>
              <w:tab w:val="left" w:pos="1134" w:leader="none"/>
            </w:tabs>
            <w:jc w:val="center"/>
            <w:rPr>
              <w:sz w:val="24"/>
              <w:szCs w:val="24"/>
            </w:rPr>
          </w:pPr>
          <w:r>
            <w:rPr>
              <w:sz w:val="24"/>
              <w:szCs w:val="24"/>
            </w:rPr>
          </w:r>
        </w:p>
        <w:p>
          <w:pPr>
            <w:pStyle w:val="Normal"/>
            <w:tabs>
              <w:tab w:val="clear" w:pos="708"/>
              <w:tab w:val="left" w:pos="1134" w:leader="none"/>
            </w:tabs>
            <w:jc w:val="center"/>
            <w:rPr>
              <w:u w:val="single"/>
            </w:rPr>
          </w:pPr>
          <w:r>
            <w:rPr>
              <w:u w:val="single"/>
            </w:rPr>
            <w:t>Перечень мероприятий по повышению результативности деятельности органов местного самоуправления городских округов и муниципальных районов Брянской области по направлению «Сельское хозяйство»</w:t>
          </w:r>
        </w:p>
        <w:p>
          <w:pPr>
            <w:pStyle w:val="Normal"/>
            <w:jc w:val="center"/>
            <w:rPr>
              <w:sz w:val="24"/>
              <w:szCs w:val="24"/>
              <w:u w:val="single"/>
            </w:rPr>
          </w:pPr>
          <w:r>
            <w:rPr>
              <w:sz w:val="24"/>
              <w:szCs w:val="24"/>
              <w:u w:val="single"/>
            </w:rPr>
          </w:r>
        </w:p>
        <w:p>
          <w:pPr>
            <w:pStyle w:val="Normal"/>
            <w:numPr>
              <w:ilvl w:val="0"/>
              <w:numId w:val="24"/>
            </w:numPr>
            <w:tabs>
              <w:tab w:val="clear" w:pos="708"/>
              <w:tab w:val="left" w:pos="1134" w:leader="none"/>
            </w:tabs>
            <w:ind w:left="0" w:right="-2" w:firstLine="720"/>
            <w:jc w:val="both"/>
            <w:rPr/>
          </w:pPr>
          <w:r>
            <w:rPr/>
            <w:t>Выполнение целевых индикаторов государственной программы «Развития сельского хозяйства и регулирования рынков сельскохозяйственной продукции, сырья и продовольствия Брянской области».</w:t>
          </w:r>
        </w:p>
        <w:p>
          <w:pPr>
            <w:pStyle w:val="Normal"/>
            <w:widowControl w:val="false"/>
            <w:numPr>
              <w:ilvl w:val="0"/>
              <w:numId w:val="24"/>
            </w:numPr>
            <w:tabs>
              <w:tab w:val="clear" w:pos="708"/>
              <w:tab w:val="left" w:pos="1134" w:leader="none"/>
            </w:tabs>
            <w:ind w:left="0" w:right="-2" w:firstLine="720"/>
            <w:jc w:val="both"/>
            <w:rPr/>
          </w:pPr>
          <w:r>
            <w:rPr>
              <w:rFonts w:cs="Arial"/>
            </w:rPr>
            <w:t>С</w:t>
          </w:r>
          <w:r>
            <w:rPr/>
            <w:t>оздание благоприятного инвестиционного климата в сельскохозяйственной отрасли, в том числе путём информирования потенциальных инвесторов о социально-экономическом потенциале района, создания условий для привлечения инвестиций. Сопровождение реализации инвестиционных проектов в отрасли.</w:t>
          </w:r>
        </w:p>
        <w:p>
          <w:pPr>
            <w:pStyle w:val="Normal"/>
            <w:widowControl w:val="false"/>
            <w:numPr>
              <w:ilvl w:val="0"/>
              <w:numId w:val="24"/>
            </w:numPr>
            <w:tabs>
              <w:tab w:val="clear" w:pos="708"/>
              <w:tab w:val="left" w:pos="1134" w:leader="none"/>
            </w:tabs>
            <w:ind w:left="0" w:right="-2" w:firstLine="720"/>
            <w:jc w:val="both"/>
            <w:rPr/>
          </w:pPr>
          <w:r>
            <w:rPr/>
            <w:t>Повышение качества жизни на селе за счёт комплексного обустройства населённых пунктов, расположенных в сельской местности, объектами социальной и инженерной инфраструктуры. Дальнейшее развитие сельского туризма.</w:t>
          </w:r>
        </w:p>
        <w:p>
          <w:pPr>
            <w:pStyle w:val="Normal"/>
            <w:numPr>
              <w:ilvl w:val="0"/>
              <w:numId w:val="24"/>
            </w:numPr>
            <w:tabs>
              <w:tab w:val="clear" w:pos="708"/>
              <w:tab w:val="left" w:pos="1134" w:leader="none"/>
            </w:tabs>
            <w:ind w:left="0" w:right="-2" w:firstLine="720"/>
            <w:jc w:val="both"/>
            <w:rPr/>
          </w:pPr>
          <w:r>
            <w:rPr/>
            <w:t xml:space="preserve">Развитие агропромышленной интеграции путём </w:t>
          </w:r>
          <w:bookmarkStart w:id="1" w:name="463"/>
          <w:r>
            <w:rPr/>
            <w:t>совершенствования механизмов координации и управления в агропродуктовых формированиях, привлечения сельскохозяйственных товаропроизводителей для участия в выставочно-ярмарочных мероприятиях.</w:t>
          </w:r>
          <w:bookmarkEnd w:id="1"/>
        </w:p>
        <w:p>
          <w:pPr>
            <w:pStyle w:val="Normal"/>
            <w:numPr>
              <w:ilvl w:val="0"/>
              <w:numId w:val="24"/>
            </w:numPr>
            <w:tabs>
              <w:tab w:val="clear" w:pos="708"/>
              <w:tab w:val="left" w:pos="1134" w:leader="none"/>
            </w:tabs>
            <w:ind w:left="0" w:right="-2" w:firstLine="720"/>
            <w:jc w:val="both"/>
            <w:rPr/>
          </w:pPr>
          <w:r>
            <w:rPr/>
            <w:t>Проведение инвентаризации и государственной регистрации земель сельскохозяйственного назначения на территории муниципального района, вовлечение их в оборот и передача эффективным землепользователям.</w:t>
          </w:r>
        </w:p>
        <w:p>
          <w:pPr>
            <w:pStyle w:val="Normal"/>
            <w:numPr>
              <w:ilvl w:val="0"/>
              <w:numId w:val="24"/>
            </w:numPr>
            <w:tabs>
              <w:tab w:val="clear" w:pos="708"/>
              <w:tab w:val="left" w:pos="1134" w:leader="none"/>
            </w:tabs>
            <w:ind w:left="0" w:right="-2" w:firstLine="720"/>
            <w:jc w:val="both"/>
            <w:rPr/>
          </w:pPr>
          <w:r>
            <w:rPr/>
            <w:t>Обеспечение эффективного использования государственной поддержки по наиболее приоритетным направлениям развития отрасли в рамках содействия импортозамещению в АПК. Усиление контроля за целевым и эффективным использованием бюджетных средств.</w:t>
          </w:r>
        </w:p>
        <w:p>
          <w:pPr>
            <w:pStyle w:val="Normal"/>
            <w:numPr>
              <w:ilvl w:val="0"/>
              <w:numId w:val="24"/>
            </w:numPr>
            <w:tabs>
              <w:tab w:val="clear" w:pos="708"/>
              <w:tab w:val="left" w:pos="1134" w:leader="none"/>
            </w:tabs>
            <w:ind w:left="0" w:right="-2" w:firstLine="720"/>
            <w:jc w:val="both"/>
            <w:rPr/>
          </w:pPr>
          <w:r>
            <w:rPr/>
            <w:t>Укрепление кадрового потенциала. Использование комплекса мероприятий по трудоустройству и закреплению молодых специалистов на селе.</w:t>
          </w:r>
        </w:p>
        <w:p>
          <w:pPr>
            <w:pStyle w:val="Normal"/>
            <w:numPr>
              <w:ilvl w:val="0"/>
              <w:numId w:val="24"/>
            </w:numPr>
            <w:tabs>
              <w:tab w:val="clear" w:pos="708"/>
              <w:tab w:val="left" w:pos="1134" w:leader="none"/>
            </w:tabs>
            <w:ind w:left="0" w:right="-2" w:firstLine="720"/>
            <w:jc w:val="both"/>
            <w:rPr>
              <w:bCs/>
            </w:rPr>
          </w:pPr>
          <w:r>
            <w:rPr/>
            <w:t>Поддержка начинающих фермеров и содействие развитию действующих крестьянских (фермерских) хозяйств, а также сельскохозяйственных потребительских кооперативов.</w:t>
          </w:r>
        </w:p>
        <w:p>
          <w:pPr>
            <w:pStyle w:val="Normal"/>
            <w:tabs>
              <w:tab w:val="clear" w:pos="708"/>
              <w:tab w:val="left" w:pos="0" w:leader="none"/>
            </w:tabs>
            <w:jc w:val="center"/>
            <w:rPr>
              <w:bCs/>
              <w:u w:val="single"/>
            </w:rPr>
          </w:pPr>
          <w:r>
            <w:rPr>
              <w:bCs/>
              <w:u w:val="single"/>
            </w:rPr>
          </w:r>
        </w:p>
        <w:p>
          <w:pPr>
            <w:pStyle w:val="Normal"/>
            <w:spacing w:before="0" w:after="120"/>
            <w:jc w:val="center"/>
            <w:rPr>
              <w:b/>
              <w:b/>
              <w:color w:val="000000"/>
            </w:rPr>
          </w:pPr>
          <w:r>
            <w:rPr>
              <w:b/>
              <w:color w:val="000000"/>
            </w:rPr>
            <w:t>Дорожное хозяйство и транспорт</w:t>
          </w:r>
        </w:p>
        <w:p>
          <w:pPr>
            <w:pStyle w:val="ListParagraph"/>
            <w:numPr>
              <w:ilvl w:val="0"/>
              <w:numId w:val="3"/>
            </w:numPr>
            <w:spacing w:lineRule="auto" w:line="240" w:before="0" w:after="120"/>
            <w:ind w:left="0" w:firstLine="567"/>
            <w:contextualSpacing/>
            <w:jc w:val="both"/>
            <w:rPr>
              <w:rFonts w:ascii="Times New Roman" w:hAnsi="Times New Roman"/>
              <w:b/>
              <w:b/>
              <w:sz w:val="28"/>
              <w:szCs w:val="28"/>
            </w:rPr>
          </w:pPr>
          <w:r>
            <w:rPr>
              <w:rFonts w:ascii="Times New Roman" w:hAnsi="Times New Roman"/>
              <w:b/>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pPr>
            <w:pStyle w:val="Normal"/>
            <w:tabs>
              <w:tab w:val="clear" w:pos="708"/>
              <w:tab w:val="left" w:pos="0" w:leader="none"/>
            </w:tabs>
            <w:ind w:firstLine="709"/>
            <w:jc w:val="both"/>
            <w:rPr/>
          </w:pPr>
          <w:r>
            <w:rPr/>
            <w:t>В группе городских округов отмечается положительная динамика развития показателя только в городе Клинцы. В связи с недостаточностью средств муниципального дорожного фонда в городском округе Сельцо и Фокино показатель остался на уровне 2018 года, но при этом составляет более 55%</w:t>
            <w:tab/>
            <w:t xml:space="preserve">(64,7% и 55,6% соответственно). В остальных городских округах отмечается незначительное снижение показателя. </w:t>
          </w:r>
        </w:p>
        <w:p>
          <w:pPr>
            <w:pStyle w:val="Normal"/>
            <w:tabs>
              <w:tab w:val="clear" w:pos="708"/>
              <w:tab w:val="left" w:pos="0" w:leader="none"/>
            </w:tabs>
            <w:ind w:firstLine="709"/>
            <w:jc w:val="both"/>
            <w:rPr/>
          </w:pPr>
          <w:r>
            <w:rPr/>
            <w:t xml:space="preserve">Среди муниципальных районов следует отметить Мглинский, в котором доля автодорог, не отвечающих нормативным требованиям, за 2019 года составила 88,2%.  В результате проведения ремонтных работ в Стародубском муниципальном округе, Погарском, Карачевском, Дятьковском и Трубчевском районах наблюдается снижение показателя на величину от 0,5 п.п. до 6,8 п.п.. </w:t>
          </w:r>
        </w:p>
        <w:p>
          <w:pPr>
            <w:pStyle w:val="Normal"/>
            <w:tabs>
              <w:tab w:val="clear" w:pos="708"/>
              <w:tab w:val="left" w:pos="0" w:leader="none"/>
            </w:tabs>
            <w:ind w:firstLine="709"/>
            <w:jc w:val="both"/>
            <w:rPr/>
          </w:pPr>
          <w:r>
            <w:rPr/>
            <w:t xml:space="preserve">Среди муниципальных районов следует отметить Почепский, Климовский и Дубровский районы, в которых наблюдается положительная динамика развития показателя. </w:t>
          </w:r>
        </w:p>
        <w:p>
          <w:pPr>
            <w:pStyle w:val="Normal"/>
            <w:tabs>
              <w:tab w:val="clear" w:pos="708"/>
              <w:tab w:val="left" w:pos="0" w:leader="none"/>
            </w:tabs>
            <w:ind w:firstLine="709"/>
            <w:jc w:val="both"/>
            <w:rPr/>
          </w:pPr>
          <w:r>
            <w:rPr/>
            <w:t xml:space="preserve">Положительная тенденция развития показателя обусловлена осуществлением органами местного самоуправления муниципальных образований дорожной деятельности в отношении автомобильных дорог общего пользования местного значения. </w:t>
          </w:r>
        </w:p>
        <w:p>
          <w:pPr>
            <w:pStyle w:val="Normal"/>
            <w:rPr>
              <w:highlight w:val="yellow"/>
            </w:rPr>
          </w:pPr>
          <w:r>
            <w:rPr>
              <w:highlight w:val="yellow"/>
            </w:rPr>
          </w:r>
        </w:p>
        <w:p>
          <w:pPr>
            <w:pStyle w:val="ListParagraph"/>
            <w:numPr>
              <w:ilvl w:val="0"/>
              <w:numId w:val="2"/>
            </w:numPr>
            <w:spacing w:lineRule="auto" w:line="240" w:before="0" w:after="0"/>
            <w:ind w:left="0" w:firstLine="709"/>
            <w:contextualSpacing/>
            <w:jc w:val="both"/>
            <w:rPr>
              <w:rFonts w:ascii="Times New Roman" w:hAnsi="Times New Roman"/>
              <w:b/>
              <w:b/>
              <w:sz w:val="28"/>
              <w:szCs w:val="28"/>
            </w:rPr>
          </w:pPr>
          <w:r>
            <w:rPr>
              <w:rFonts w:ascii="Times New Roman" w:hAnsi="Times New Roman"/>
              <w:b/>
              <w:sz w:val="28"/>
              <w:szCs w:val="28"/>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(процентов)</w:t>
          </w:r>
        </w:p>
        <w:p>
          <w:pPr>
            <w:pStyle w:val="Normal"/>
            <w:widowControl w:val="false"/>
            <w:ind w:firstLine="709"/>
            <w:jc w:val="both"/>
            <w:rPr/>
          </w:pPr>
          <w:r>
            <w:rPr/>
            <w:t xml:space="preserve">Значение показателя </w:t>
          </w:r>
          <w:r>
            <w:rPr>
              <w:iCs/>
            </w:rPr>
            <w:t>за отчетный период в целом по области снизилось, так как были установлены маршруты, продлены некоторые маршрутные рейсы, организованы дополнительные рейсы в сельские населенные пункты. Кроме того, снижение показателя обусловлено естественной убылью населения в населенных пунктах.</w:t>
          </w:r>
        </w:p>
        <w:p>
          <w:pPr>
            <w:pStyle w:val="Normal"/>
            <w:ind w:firstLine="709"/>
            <w:jc w:val="both"/>
            <w:rPr>
              <w:rFonts w:eastAsia="Arial" w:cs="Arial"/>
            </w:rPr>
          </w:pPr>
          <w:r>
            <w:rPr/>
            <w:t xml:space="preserve">За отчетный период </w:t>
          </w:r>
          <w:r>
            <w:rPr>
              <w:rFonts w:eastAsia="Arial" w:cs="Arial"/>
            </w:rPr>
            <w:t>показатель:</w:t>
          </w:r>
        </w:p>
        <w:p>
          <w:pPr>
            <w:pStyle w:val="Normal"/>
            <w:ind w:firstLine="709"/>
            <w:jc w:val="both"/>
            <w:rPr>
              <w:rFonts w:eastAsia="Arial" w:cs="Arial"/>
            </w:rPr>
          </w:pPr>
          <w:r>
            <w:rPr>
              <w:rFonts w:eastAsia="Arial" w:cs="Arial"/>
            </w:rPr>
            <w:t>остался на прежнем уровне по сравнению с прошлым годом Брасовском (0,4%), Выгоничском (1%), Гордеевском (0,01%), Дятьковском (0,03%), Жирятинском (0%), Злынковском (0,3%), Карачевском (1,2%), Клетнянском (0,7%), Климовском (0,5%),  Красногорском (0%), Навлинском (2,5%) муниципальных районах.</w:t>
          </w:r>
        </w:p>
        <w:p>
          <w:pPr>
            <w:pStyle w:val="Normal"/>
            <w:tabs>
              <w:tab w:val="clear" w:pos="708"/>
              <w:tab w:val="left" w:pos="709" w:leader="none"/>
            </w:tabs>
            <w:jc w:val="both"/>
            <w:rPr/>
          </w:pPr>
          <w:r>
            <w:rPr>
              <w:rFonts w:eastAsia="Arial" w:cs="Arial"/>
            </w:rPr>
            <w:tab/>
            <w:t>снизился в Брянском, Дубровском, Жуковском, Комаричском, Мглинском, Погарском, Рогнединском и Севском муниципальных районах</w:t>
          </w:r>
          <w:r>
            <w:rPr/>
            <w:t>.</w:t>
          </w:r>
        </w:p>
        <w:p>
          <w:pPr>
            <w:pStyle w:val="Normal"/>
            <w:tabs>
              <w:tab w:val="clear" w:pos="708"/>
              <w:tab w:val="left" w:pos="709" w:leader="none"/>
            </w:tabs>
            <w:ind w:firstLine="709"/>
            <w:jc w:val="both"/>
            <w:rPr>
              <w:highlight w:val="yellow"/>
            </w:rPr>
          </w:pPr>
          <w:r>
            <w:rPr/>
            <w:t>Рост показателя в 2019 году не выявлен.</w:t>
          </w:r>
        </w:p>
        <w:p>
          <w:pPr>
            <w:pStyle w:val="Normal"/>
            <w:tabs>
              <w:tab w:val="clear" w:pos="708"/>
              <w:tab w:val="left" w:pos="709" w:leader="none"/>
            </w:tabs>
            <w:ind w:firstLine="709"/>
            <w:jc w:val="both"/>
            <w:rPr/>
          </w:pPr>
          <w:r>
            <w:rPr>
              <w:rFonts w:eastAsia="Arial" w:cs="Arial"/>
            </w:rPr>
            <w:t xml:space="preserve">Для дальнейшего повышения транспортной доступности необходимо улучшение качества автомобильных дорог, обновление парка пассажирского транспорта, </w:t>
          </w:r>
          <w:r>
            <w:rPr/>
            <w:t>увеличение доли расходов в сфере дорожного хозяйства и транспорта в бюджетах муниципальных образований.</w:t>
          </w:r>
        </w:p>
        <w:p>
          <w:pPr>
            <w:pStyle w:val="Normal"/>
            <w:tabs>
              <w:tab w:val="clear" w:pos="708"/>
              <w:tab w:val="left" w:pos="709" w:leader="none"/>
            </w:tabs>
            <w:ind w:firstLine="709"/>
            <w:jc w:val="both"/>
            <w:rPr/>
          </w:pPr>
          <w:r>
            <w:rPr/>
            <w:t xml:space="preserve">Как и в прошлом отчетном периоде в городских округах проблема обеспечения транспортными услугами населения отсутствует. В областном центре планируется поэтапное увеличение количества транспортных средств среднего класса большей вместимости. </w:t>
          </w:r>
          <w:r>
            <w:rPr>
              <w:bCs/>
            </w:rPr>
            <w:t xml:space="preserve">Одной из главных задач для городов является дальнейшее развитие муниципального пассажирского транспорта. </w:t>
          </w:r>
          <w:r>
            <w:rPr/>
            <w:t>К положительным тенденциям можно отнести проводимую администрациями городов оптимизацию подвижного состава – замена автобусов особо малой вместимости на автобусы большей вместимости.</w:t>
          </w:r>
        </w:p>
        <w:p>
          <w:pPr>
            <w:pStyle w:val="Normal"/>
            <w:ind w:firstLine="709"/>
            <w:jc w:val="both"/>
            <w:rPr/>
          </w:pPr>
          <w:r>
            <w:rPr/>
            <w:t xml:space="preserve">Значения показателя в городских округах значительно выше, чем в муниципальных районах. Это объясняется тем что, дорожные условия в городских округах лучше, протяженность дорог меньше, пассажиропоток выше, чем в муниципальных районах. Большая часть маршрутов в муниципальных районах убыточна, в городских округах маршруты имеют прибыль. </w:t>
          </w:r>
        </w:p>
        <w:p>
          <w:pPr>
            <w:pStyle w:val="Normal"/>
            <w:ind w:firstLine="709"/>
            <w:jc w:val="both"/>
            <w:rPr/>
          </w:pPr>
          <w:r>
            <w:rPr/>
            <w:t>В населённых пунктах, где нет регулярного автобусного сообщения, большинство жилых домов используются только в летний период, как дачи.</w:t>
          </w:r>
        </w:p>
        <w:p>
          <w:pPr>
            <w:pStyle w:val="Normal"/>
            <w:ind w:firstLine="709"/>
            <w:jc w:val="both"/>
            <w:rPr>
              <w:color w:val="000000"/>
              <w:highlight w:val="yellow"/>
            </w:rPr>
          </w:pPr>
          <w:r>
            <w:rPr>
              <w:color w:val="000000"/>
              <w:highlight w:val="yellow"/>
            </w:rPr>
          </w:r>
        </w:p>
        <w:p>
          <w:pPr>
            <w:pStyle w:val="Normal"/>
            <w:jc w:val="center"/>
            <w:rPr>
              <w:rFonts w:eastAsia="Calibri"/>
              <w:u w:val="single"/>
              <w:lang w:eastAsia="en-US"/>
            </w:rPr>
          </w:pPr>
          <w:r>
            <w:rPr>
              <w:u w:val="single"/>
            </w:rPr>
            <w:t xml:space="preserve">Зоны, требующие приоритетного внимания органов местного самоуправления городских округов и муниципальных </w:t>
          </w:r>
          <w:r>
            <w:rPr>
              <w:rFonts w:eastAsia="Calibri"/>
              <w:u w:val="single"/>
              <w:lang w:eastAsia="en-US"/>
            </w:rPr>
            <w:t xml:space="preserve">районов по разделу «Дорожное хозяйство </w:t>
          </w:r>
        </w:p>
        <w:p>
          <w:pPr>
            <w:pStyle w:val="Normal"/>
            <w:jc w:val="center"/>
            <w:rPr>
              <w:rFonts w:eastAsia="Calibri"/>
              <w:lang w:eastAsia="en-US"/>
            </w:rPr>
          </w:pPr>
          <w:r>
            <w:rPr>
              <w:rFonts w:eastAsia="Calibri"/>
              <w:u w:val="single"/>
              <w:lang w:eastAsia="en-US"/>
            </w:rPr>
            <w:t>и транспорт»</w:t>
          </w:r>
        </w:p>
        <w:p>
          <w:pPr>
            <w:pStyle w:val="ListParagraph"/>
            <w:numPr>
              <w:ilvl w:val="0"/>
              <w:numId w:val="22"/>
            </w:numPr>
            <w:tabs>
              <w:tab w:val="clear" w:pos="708"/>
              <w:tab w:val="left" w:pos="851" w:leader="none"/>
            </w:tabs>
            <w:spacing w:before="0" w:after="0"/>
            <w:ind w:left="0" w:firstLine="567"/>
            <w:contextualSpacing/>
            <w:jc w:val="both"/>
            <w:rPr>
              <w:rFonts w:ascii="Times New Roman" w:hAnsi="Times New Roman"/>
              <w:sz w:val="28"/>
              <w:szCs w:val="28"/>
            </w:rPr>
          </w:pPr>
          <w:r>
            <w:rPr>
              <w:rFonts w:ascii="Times New Roman" w:hAnsi="Times New Roman"/>
              <w:sz w:val="28"/>
              <w:szCs w:val="28"/>
            </w:rPr>
            <w:t>Увеличение финансирования дорожного хозяйства.</w:t>
          </w:r>
        </w:p>
        <w:p>
          <w:pPr>
            <w:pStyle w:val="Normal"/>
            <w:tabs>
              <w:tab w:val="clear" w:pos="708"/>
              <w:tab w:val="left" w:pos="851" w:leader="none"/>
            </w:tabs>
            <w:ind w:firstLine="567"/>
            <w:jc w:val="both"/>
            <w:rPr>
              <w:rFonts w:eastAsia="Calibri"/>
              <w:lang w:eastAsia="en-US"/>
            </w:rPr>
          </w:pPr>
          <w:r>
            <w:rPr>
              <w:rFonts w:eastAsia="Calibri"/>
              <w:lang w:eastAsia="en-US"/>
            </w:rPr>
            <w:t>2. Обеспечение муниципальных образований квалифицированными специалистами дорожной сферы.</w:t>
          </w:r>
        </w:p>
        <w:p>
          <w:pPr>
            <w:pStyle w:val="Normal"/>
            <w:tabs>
              <w:tab w:val="clear" w:pos="708"/>
              <w:tab w:val="left" w:pos="851" w:leader="none"/>
            </w:tabs>
            <w:ind w:firstLine="567"/>
            <w:jc w:val="both"/>
            <w:rPr/>
          </w:pPr>
          <w:r>
            <w:rPr>
              <w:rFonts w:eastAsia="Calibri"/>
              <w:lang w:eastAsia="en-US"/>
            </w:rPr>
            <w:t xml:space="preserve">3. </w:t>
          </w:r>
          <w:r>
            <w:rPr/>
            <w:t>Строгий учет межремонтных сроков при составлении плана ремонта автомобильных дорог.</w:t>
          </w:r>
        </w:p>
        <w:p>
          <w:pPr>
            <w:pStyle w:val="ListParagraph"/>
            <w:spacing w:lineRule="auto" w:line="240" w:before="0" w:after="0"/>
            <w:ind w:left="709" w:hanging="0"/>
            <w:contextualSpacing/>
            <w:rPr>
              <w:rFonts w:ascii="Times New Roman" w:hAnsi="Times New Roman"/>
              <w:i/>
              <w:i/>
              <w:sz w:val="28"/>
              <w:szCs w:val="28"/>
              <w:highlight w:val="yellow"/>
            </w:rPr>
          </w:pPr>
          <w:r>
            <w:rPr>
              <w:rFonts w:ascii="Times New Roman" w:hAnsi="Times New Roman"/>
              <w:i/>
              <w:sz w:val="28"/>
              <w:szCs w:val="28"/>
              <w:highlight w:val="yellow"/>
            </w:rPr>
          </w:r>
        </w:p>
        <w:p>
          <w:pPr>
            <w:pStyle w:val="Normal"/>
            <w:jc w:val="center"/>
            <w:rPr>
              <w:u w:val="single"/>
            </w:rPr>
          </w:pPr>
          <w:r>
            <w:rPr>
              <w:bCs/>
              <w:u w:val="single"/>
            </w:rPr>
            <w:t>Перечень мероприятий по повышению результативности деятельности органов местного самоуправления</w:t>
          </w:r>
          <w:r>
            <w:rPr>
              <w:u w:val="single"/>
            </w:rPr>
            <w:t xml:space="preserve"> городских округов и муниципальных районов по разделу «Дорожное хозяйство и транспорт»</w:t>
          </w:r>
        </w:p>
        <w:p>
          <w:pPr>
            <w:pStyle w:val="ListParagraph"/>
            <w:numPr>
              <w:ilvl w:val="0"/>
              <w:numId w:val="12"/>
            </w:numPr>
            <w:tabs>
              <w:tab w:val="clear" w:pos="708"/>
              <w:tab w:val="left" w:pos="993" w:leader="none"/>
            </w:tabs>
            <w:spacing w:lineRule="auto" w:line="240"/>
            <w:ind w:left="0" w:firstLine="567"/>
            <w:jc w:val="both"/>
            <w:rPr>
              <w:rFonts w:ascii="Times New Roman" w:hAnsi="Times New Roman"/>
              <w:sz w:val="28"/>
              <w:szCs w:val="28"/>
            </w:rPr>
          </w:pPr>
          <w:r>
            <w:rPr>
              <w:rFonts w:ascii="Times New Roman" w:hAnsi="Times New Roman"/>
              <w:sz w:val="28"/>
              <w:szCs w:val="28"/>
            </w:rPr>
            <w:t>Планирование при формировании бюджета муниципального образования средств местного бюджета на мероприятия по ремонту автомобильных дорог муниципального образования, а также привлечение на ремонт дорог средств муниципального дорожного фонда с учетом межремонтных сроков.</w:t>
          </w:r>
        </w:p>
        <w:p>
          <w:pPr>
            <w:pStyle w:val="ListParagraph"/>
            <w:numPr>
              <w:ilvl w:val="0"/>
              <w:numId w:val="12"/>
            </w:numPr>
            <w:tabs>
              <w:tab w:val="clear" w:pos="708"/>
              <w:tab w:val="left" w:pos="993" w:leader="none"/>
            </w:tabs>
            <w:spacing w:lineRule="auto" w:line="240"/>
            <w:ind w:left="0" w:firstLine="567"/>
            <w:jc w:val="both"/>
            <w:rPr>
              <w:rFonts w:ascii="Times New Roman" w:hAnsi="Times New Roman"/>
              <w:sz w:val="28"/>
              <w:szCs w:val="28"/>
            </w:rPr>
          </w:pPr>
          <w:r>
            <w:rPr>
              <w:rFonts w:ascii="Times New Roman" w:hAnsi="Times New Roman"/>
              <w:sz w:val="28"/>
              <w:szCs w:val="28"/>
            </w:rPr>
            <w:t>Проведение ежегодного мониторинга гарантийных объектов и ведение работы с подрядными организациями по результатам проведенного мониторинга.</w:t>
          </w:r>
        </w:p>
        <w:p>
          <w:pPr>
            <w:pStyle w:val="ListParagraph"/>
            <w:numPr>
              <w:ilvl w:val="0"/>
              <w:numId w:val="12"/>
            </w:numPr>
            <w:tabs>
              <w:tab w:val="clear" w:pos="708"/>
              <w:tab w:val="left" w:pos="993" w:leader="none"/>
            </w:tabs>
            <w:spacing w:lineRule="auto" w:line="240"/>
            <w:ind w:left="0" w:firstLine="567"/>
            <w:jc w:val="both"/>
            <w:rPr>
              <w:rFonts w:ascii="Times New Roman" w:hAnsi="Times New Roman"/>
              <w:sz w:val="28"/>
              <w:szCs w:val="28"/>
            </w:rPr>
          </w:pPr>
          <w:r>
            <w:rPr>
              <w:rFonts w:ascii="Times New Roman" w:hAnsi="Times New Roman"/>
              <w:sz w:val="28"/>
              <w:szCs w:val="28"/>
            </w:rPr>
            <w:t xml:space="preserve">Проведение ежегодной оценки технического состояния автомобильных дорог. </w:t>
          </w:r>
        </w:p>
        <w:p>
          <w:pPr>
            <w:pStyle w:val="ListParagraph"/>
            <w:numPr>
              <w:ilvl w:val="0"/>
              <w:numId w:val="12"/>
            </w:numPr>
            <w:tabs>
              <w:tab w:val="clear" w:pos="708"/>
              <w:tab w:val="left" w:pos="993" w:leader="none"/>
            </w:tabs>
            <w:spacing w:lineRule="auto" w:line="240"/>
            <w:ind w:left="0" w:firstLine="567"/>
            <w:jc w:val="both"/>
            <w:rPr>
              <w:rFonts w:ascii="Times New Roman" w:hAnsi="Times New Roman"/>
              <w:sz w:val="28"/>
              <w:szCs w:val="28"/>
            </w:rPr>
          </w:pPr>
          <w:r>
            <w:rPr>
              <w:rFonts w:ascii="Times New Roman" w:hAnsi="Times New Roman"/>
              <w:sz w:val="28"/>
              <w:szCs w:val="28"/>
            </w:rPr>
            <w:t>Предоставление в территориальные органы Федеральной службы государственной статистики достоверных сведений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 по форме № 3-ДГ (мо).</w:t>
          </w:r>
        </w:p>
        <w:p>
          <w:pPr>
            <w:pStyle w:val="ListParagraph"/>
            <w:numPr>
              <w:ilvl w:val="0"/>
              <w:numId w:val="12"/>
            </w:numPr>
            <w:tabs>
              <w:tab w:val="clear" w:pos="708"/>
              <w:tab w:val="left" w:pos="993" w:leader="none"/>
            </w:tabs>
            <w:spacing w:lineRule="auto" w:line="240"/>
            <w:ind w:left="0" w:firstLine="567"/>
            <w:jc w:val="both"/>
            <w:rPr>
              <w:rFonts w:ascii="Times New Roman" w:hAnsi="Times New Roman"/>
              <w:sz w:val="28"/>
              <w:szCs w:val="28"/>
            </w:rPr>
          </w:pPr>
          <w:r>
            <w:rPr>
              <w:rFonts w:ascii="Times New Roman" w:hAnsi="Times New Roman"/>
              <w:sz w:val="28"/>
              <w:szCs w:val="28"/>
            </w:rPr>
            <w:t xml:space="preserve">Составление перспективных планов дорожных работ и перечня первоочередных мероприятий, необходимых для поддержания дорог в нормативном транспортно-эксплуатационном состоянии.  </w:t>
          </w:r>
        </w:p>
        <w:p>
          <w:pPr>
            <w:pStyle w:val="ListParagraph"/>
            <w:numPr>
              <w:ilvl w:val="0"/>
              <w:numId w:val="12"/>
            </w:numPr>
            <w:tabs>
              <w:tab w:val="clear" w:pos="708"/>
              <w:tab w:val="left" w:pos="993" w:leader="none"/>
            </w:tabs>
            <w:spacing w:lineRule="auto" w:line="240"/>
            <w:ind w:left="0" w:firstLine="567"/>
            <w:jc w:val="both"/>
            <w:rPr>
              <w:rFonts w:ascii="Times New Roman" w:hAnsi="Times New Roman"/>
              <w:sz w:val="28"/>
              <w:szCs w:val="28"/>
            </w:rPr>
          </w:pPr>
          <w:r>
            <w:rPr>
              <w:rFonts w:ascii="Times New Roman" w:hAnsi="Times New Roman"/>
              <w:sz w:val="28"/>
              <w:szCs w:val="28"/>
            </w:rPr>
            <w:t>Обеспечение муниципальных образований квалифицированными специалистами дорожной сферы.</w:t>
          </w:r>
        </w:p>
        <w:p>
          <w:pPr>
            <w:pStyle w:val="ListParagraph"/>
            <w:numPr>
              <w:ilvl w:val="0"/>
              <w:numId w:val="12"/>
            </w:numPr>
            <w:tabs>
              <w:tab w:val="clear" w:pos="708"/>
              <w:tab w:val="left" w:pos="993" w:leader="none"/>
            </w:tabs>
            <w:ind w:left="0" w:firstLine="567"/>
            <w:jc w:val="both"/>
            <w:rPr>
              <w:rFonts w:ascii="Times New Roman" w:hAnsi="Times New Roman"/>
              <w:sz w:val="28"/>
              <w:szCs w:val="28"/>
            </w:rPr>
          </w:pPr>
          <w:r>
            <w:rPr>
              <w:rFonts w:ascii="Times New Roman" w:hAnsi="Times New Roman"/>
              <w:sz w:val="28"/>
              <w:szCs w:val="28"/>
            </w:rPr>
            <w:t>Увеличение пропускной способности улиц путем проведения ремонта существующих дорог и строительства новых направлений движения.</w:t>
          </w:r>
        </w:p>
        <w:p>
          <w:pPr>
            <w:pStyle w:val="ListParagraph"/>
            <w:numPr>
              <w:ilvl w:val="0"/>
              <w:numId w:val="12"/>
            </w:numPr>
            <w:tabs>
              <w:tab w:val="clear" w:pos="708"/>
              <w:tab w:val="left" w:pos="993" w:leader="none"/>
            </w:tabs>
            <w:spacing w:lineRule="auto" w:line="240"/>
            <w:ind w:left="0" w:firstLine="567"/>
            <w:jc w:val="both"/>
            <w:rPr>
              <w:rFonts w:ascii="Times New Roman" w:hAnsi="Times New Roman"/>
              <w:sz w:val="28"/>
              <w:szCs w:val="28"/>
            </w:rPr>
          </w:pPr>
          <w:r>
            <w:rPr>
              <w:rFonts w:ascii="Times New Roman" w:hAnsi="Times New Roman"/>
              <w:sz w:val="28"/>
              <w:szCs w:val="28"/>
            </w:rPr>
            <w:t>Рассмотрение вопроса организации новых автобусных маршрутов, а также изменение существующих автобусных маршрутов (создание временных, сезонных маршрутов), для повышения качества предоставляемых транспортных услуг населению.</w:t>
          </w:r>
        </w:p>
        <w:p>
          <w:pPr>
            <w:pStyle w:val="ListParagraph"/>
            <w:spacing w:lineRule="auto" w:line="240" w:before="0" w:after="0"/>
            <w:ind w:left="766" w:hanging="0"/>
            <w:contextualSpacing/>
            <w:jc w:val="both"/>
            <w:rPr>
              <w:rFonts w:ascii="Times New Roman" w:hAnsi="Times New Roman"/>
              <w:sz w:val="28"/>
              <w:szCs w:val="28"/>
            </w:rPr>
          </w:pPr>
          <w:r>
            <w:rPr>
              <w:rFonts w:ascii="Times New Roman" w:hAnsi="Times New Roman"/>
              <w:sz w:val="28"/>
              <w:szCs w:val="28"/>
            </w:rPr>
          </w:r>
        </w:p>
        <w:p>
          <w:pPr>
            <w:pStyle w:val="Normal"/>
            <w:spacing w:before="0" w:after="120"/>
            <w:jc w:val="center"/>
            <w:rPr>
              <w:b/>
              <w:b/>
            </w:rPr>
          </w:pPr>
          <w:r>
            <w:rPr>
              <w:b/>
            </w:rPr>
            <w:t>Доходы населения</w:t>
          </w:r>
        </w:p>
        <w:p>
          <w:pPr>
            <w:pStyle w:val="Normal"/>
            <w:numPr>
              <w:ilvl w:val="0"/>
              <w:numId w:val="2"/>
            </w:numPr>
            <w:ind w:left="0" w:firstLine="709"/>
            <w:jc w:val="both"/>
            <w:rPr>
              <w:b/>
              <w:b/>
            </w:rPr>
          </w:pPr>
          <w:r>
            <w:rPr>
              <w:b/>
            </w:rPr>
            <w:t>Среднемесячная номинальная начисленная заработная плата работников, рублей  крупных и средних предприятий и некоммерческих организаций</w:t>
          </w:r>
        </w:p>
        <w:p>
          <w:pPr>
            <w:pStyle w:val="Normal"/>
            <w:ind w:firstLine="720"/>
            <w:jc w:val="both"/>
            <w:rPr/>
          </w:pPr>
          <w:r>
            <w:rPr/>
            <w:t>Значение показателя за 2019 год увеличилась по сравнению с 2018 годом на 9,21 п.п. и составила 26751,60 руб.</w:t>
          </w:r>
        </w:p>
        <w:p>
          <w:pPr>
            <w:pStyle w:val="Normal"/>
            <w:ind w:firstLine="720"/>
            <w:jc w:val="both"/>
            <w:rPr/>
          </w:pPr>
          <w:r>
            <w:rPr/>
            <w:t>Значение показателя выше среднеобластного за 2019 год имеется в городском округе Брянск (36482,1 руб.), Сельцо (30184,6 руб.), Фокино (30382,6 руб.) и Брянском (31955,2 руб.), Выгоничском (37704,5 руб.) и Суражском (30870,6 руб.) муниципальных районах. Самый низкий уровень среднемесячной заработной платы работников в Красногорском (21277,1 руб.),  Гордеевском (22837,4 руб.) и Клинцовском (22964,6 руб.) муниципальных районах.</w:t>
          </w:r>
        </w:p>
        <w:p>
          <w:pPr>
            <w:pStyle w:val="Normal"/>
            <w:ind w:firstLine="720"/>
            <w:jc w:val="both"/>
            <w:rPr>
              <w:b/>
              <w:b/>
            </w:rPr>
          </w:pPr>
          <w:r>
            <w:rPr>
              <w:b/>
            </w:rPr>
          </w:r>
        </w:p>
        <w:p>
          <w:pPr>
            <w:pStyle w:val="Normal"/>
            <w:ind w:firstLine="709"/>
            <w:rPr>
              <w:b/>
              <w:b/>
            </w:rPr>
          </w:pPr>
          <w:r>
            <w:rPr>
              <w:b/>
            </w:rPr>
            <w:t>муниципальных дошкольных образовательных учреждений</w:t>
          </w:r>
        </w:p>
        <w:p>
          <w:pPr>
            <w:pStyle w:val="Normal"/>
            <w:ind w:firstLine="709"/>
            <w:jc w:val="both"/>
            <w:rPr/>
          </w:pPr>
          <w:r>
            <w:rPr/>
            <w:t>В 2019 году показатель вырос на 38,7 п.п. и составил 22766,31 рублей (2018 год – 16409,21 рублей).</w:t>
          </w:r>
        </w:p>
        <w:p>
          <w:pPr>
            <w:pStyle w:val="Normal"/>
            <w:ind w:firstLine="709"/>
            <w:jc w:val="both"/>
            <w:rPr/>
          </w:pPr>
          <w:r>
            <w:rPr/>
            <w:t xml:space="preserve">Рост заработной платы обусловлен выделением средств из областного бюджета на доведение средней заработной платы педагогических работников муниципальных дошкольных образовательных организаций до средней заработной платы в сфере общего образования в соответствии с Указом Президента Российской Федерации от 07.05.2012 № 597 «О мероприятиях по реализации государственной социальной политики», а также увеличением минимального размера оплаты труда. </w:t>
          </w:r>
        </w:p>
        <w:p>
          <w:pPr>
            <w:pStyle w:val="Normal"/>
            <w:ind w:firstLine="709"/>
            <w:jc w:val="both"/>
            <w:rPr/>
          </w:pPr>
          <w:r>
            <w:rPr/>
            <w:t>По показателю лидируют Брянский муниципальный район (24986,7 рублей), городской округ Брянск (19973,7 рублей), Клинцовский (21385,7 рублей)и Дубровский (19061,8 руб.) муниципальные районы. Одни из самых низких показателей отмечены в городском округе Фокино (16898,3 рублей), Красногорском (15698,4 рублей) и  Суражском (15856,9 рублей) муниципальных районах.</w:t>
          </w:r>
        </w:p>
        <w:p>
          <w:pPr>
            <w:pStyle w:val="Normal"/>
            <w:ind w:firstLine="709"/>
            <w:rPr>
              <w:b/>
              <w:b/>
            </w:rPr>
          </w:pPr>
          <w:r>
            <w:rPr>
              <w:b/>
            </w:rPr>
          </w:r>
        </w:p>
        <w:p>
          <w:pPr>
            <w:pStyle w:val="Normal"/>
            <w:ind w:firstLine="709"/>
            <w:rPr>
              <w:b/>
              <w:b/>
            </w:rPr>
          </w:pPr>
          <w:r>
            <w:rPr>
              <w:b/>
            </w:rPr>
            <w:t>муниципальных общеобразовательных учреждений</w:t>
          </w:r>
        </w:p>
        <w:p>
          <w:pPr>
            <w:pStyle w:val="Normal"/>
            <w:spacing w:before="0" w:after="0"/>
            <w:ind w:firstLine="709"/>
            <w:contextualSpacing/>
            <w:jc w:val="both"/>
            <w:rPr>
              <w:rFonts w:eastAsia="Calibri"/>
              <w:lang w:eastAsia="en-US"/>
            </w:rPr>
          </w:pPr>
          <w:r>
            <w:rPr>
              <w:rFonts w:eastAsia="Calibri"/>
              <w:lang w:eastAsia="en-US"/>
            </w:rPr>
            <w:t xml:space="preserve">В 2019 году в целом по области показатель вырос на 7,61 п.п. и составил 22671,27 рублей (2018 год – 21067,79 </w:t>
          </w:r>
          <w:r>
            <w:rPr/>
            <w:t>рублей</w:t>
          </w:r>
          <w:r>
            <w:rPr>
              <w:rFonts w:eastAsia="Calibri"/>
              <w:lang w:eastAsia="en-US"/>
            </w:rPr>
            <w:t>).</w:t>
          </w:r>
        </w:p>
        <w:p>
          <w:pPr>
            <w:pStyle w:val="Normal"/>
            <w:spacing w:before="0" w:after="0"/>
            <w:ind w:firstLine="709"/>
            <w:contextualSpacing/>
            <w:jc w:val="both"/>
            <w:rPr>
              <w:rFonts w:eastAsia="Calibri"/>
              <w:lang w:eastAsia="en-US"/>
            </w:rPr>
          </w:pPr>
          <w:r>
            <w:rPr>
              <w:rFonts w:eastAsia="Calibri"/>
              <w:lang w:eastAsia="en-US"/>
            </w:rPr>
            <w:t>Положительная динамика данного показателя обусловлена выделением средств на доведение средней заработной платы педагогических работников образовательных учреждений общего образования до средней заработной платы в регионе в соответствии с Указом Президента Российской Федерации от 07.05.2012 № 597 «О мероприятиях по реализации государственной социальной политики», а также увеличением минимального размера оплаты труда.</w:t>
          </w:r>
        </w:p>
        <w:p>
          <w:pPr>
            <w:pStyle w:val="Normal"/>
            <w:spacing w:before="0" w:after="0"/>
            <w:ind w:firstLine="709"/>
            <w:contextualSpacing/>
            <w:jc w:val="both"/>
            <w:rPr>
              <w:rFonts w:eastAsia="Calibri"/>
              <w:lang w:eastAsia="en-US"/>
            </w:rPr>
          </w:pPr>
          <w:r>
            <w:rPr>
              <w:rFonts w:eastAsia="Calibri"/>
              <w:lang w:eastAsia="en-US"/>
            </w:rPr>
            <w:t>В процентном отношении к общему числу муниципальных районов, городских округов среднемесячная номинальная начисленная заработная плата работников муниципальных общеобразовательных учреждений в 2019 году распределилась следующим образом:</w:t>
          </w:r>
        </w:p>
        <w:p>
          <w:pPr>
            <w:pStyle w:val="Normal"/>
            <w:spacing w:before="0" w:after="0"/>
            <w:ind w:firstLine="709"/>
            <w:contextualSpacing/>
            <w:jc w:val="both"/>
            <w:rPr>
              <w:rFonts w:eastAsia="Calibri"/>
              <w:lang w:eastAsia="en-US"/>
            </w:rPr>
          </w:pPr>
          <w:r>
            <w:rPr>
              <w:rFonts w:eastAsia="Calibri"/>
              <w:lang w:eastAsia="en-US"/>
            </w:rPr>
            <w:t>до 22,0 тыс. рублей – в 10 муниципальных образованиях;</w:t>
          </w:r>
        </w:p>
        <w:p>
          <w:pPr>
            <w:pStyle w:val="Normal"/>
            <w:spacing w:before="0" w:after="0"/>
            <w:ind w:firstLine="709"/>
            <w:contextualSpacing/>
            <w:jc w:val="both"/>
            <w:rPr>
              <w:rFonts w:eastAsia="Calibri"/>
              <w:lang w:eastAsia="en-US"/>
            </w:rPr>
          </w:pPr>
          <w:r>
            <w:rPr>
              <w:rFonts w:eastAsia="Calibri"/>
              <w:lang w:eastAsia="en-US"/>
            </w:rPr>
            <w:t>от 22,0 до 25,0 тыс. рублей – в 20 муниципальных образованиях;</w:t>
          </w:r>
        </w:p>
        <w:p>
          <w:pPr>
            <w:pStyle w:val="Normal"/>
            <w:spacing w:before="0" w:after="0"/>
            <w:ind w:firstLine="709"/>
            <w:contextualSpacing/>
            <w:jc w:val="both"/>
            <w:rPr>
              <w:rFonts w:eastAsia="Calibri"/>
              <w:lang w:eastAsia="en-US"/>
            </w:rPr>
          </w:pPr>
          <w:r>
            <w:rPr>
              <w:rFonts w:eastAsia="Calibri"/>
              <w:lang w:eastAsia="en-US"/>
            </w:rPr>
            <w:t>свыше 25 тыс. рублей – в 3 муниципальных образованиях.</w:t>
          </w:r>
        </w:p>
        <w:p>
          <w:pPr>
            <w:pStyle w:val="Normal"/>
            <w:spacing w:before="0" w:after="0"/>
            <w:ind w:firstLine="709"/>
            <w:contextualSpacing/>
            <w:jc w:val="both"/>
            <w:rPr>
              <w:highlight w:val="yellow"/>
            </w:rPr>
          </w:pPr>
          <w:r>
            <w:rPr>
              <w:rFonts w:eastAsia="Calibri"/>
              <w:lang w:eastAsia="en-US"/>
            </w:rPr>
            <w:t xml:space="preserve">По показателю лидируют городские округа Клинцы (26960,9 </w:t>
          </w:r>
          <w:r>
            <w:rPr/>
            <w:t>рублей</w:t>
          </w:r>
          <w:r>
            <w:rPr>
              <w:rFonts w:eastAsia="Calibri"/>
              <w:lang w:eastAsia="en-US"/>
            </w:rPr>
            <w:t xml:space="preserve">), Брянск (26786,6 рублей), Брянский (25845,8 </w:t>
          </w:r>
          <w:r>
            <w:rPr/>
            <w:t>рублей</w:t>
          </w:r>
          <w:r>
            <w:rPr>
              <w:rFonts w:eastAsia="Calibri"/>
              <w:lang w:eastAsia="en-US"/>
            </w:rPr>
            <w:t xml:space="preserve">) и Выгоничский (24815,9 </w:t>
          </w:r>
          <w:r>
            <w:rPr/>
            <w:t>рублей</w:t>
          </w:r>
          <w:r>
            <w:rPr>
              <w:rFonts w:eastAsia="Calibri"/>
              <w:lang w:eastAsia="en-US"/>
            </w:rPr>
            <w:t xml:space="preserve">) муниципальные районы. Наиболее низкий уровень показателя, как и в 2018 году, остается в Красногорском муниципальном районе (20276,9 </w:t>
          </w:r>
          <w:r>
            <w:rPr/>
            <w:t>рублей</w:t>
          </w:r>
          <w:r>
            <w:rPr>
              <w:rFonts w:eastAsia="Calibri"/>
              <w:lang w:eastAsia="en-US"/>
            </w:rPr>
            <w:t>).</w:t>
          </w:r>
        </w:p>
        <w:p>
          <w:pPr>
            <w:pStyle w:val="Normal"/>
            <w:ind w:firstLine="709"/>
            <w:jc w:val="both"/>
            <w:rPr/>
          </w:pPr>
          <w:r>
            <w:rPr/>
          </w:r>
        </w:p>
        <w:p>
          <w:pPr>
            <w:pStyle w:val="Normal"/>
            <w:ind w:firstLine="709"/>
            <w:rPr>
              <w:b/>
              <w:b/>
            </w:rPr>
          </w:pPr>
          <w:r>
            <w:rPr>
              <w:b/>
            </w:rPr>
            <w:t>учителей муниципальных общеобразовательных учреждений</w:t>
          </w:r>
        </w:p>
        <w:p>
          <w:pPr>
            <w:pStyle w:val="Normal"/>
            <w:ind w:firstLine="709"/>
            <w:jc w:val="both"/>
            <w:rPr/>
          </w:pPr>
          <w:r>
            <w:rPr/>
            <w:t>Величина показателя в среднем по области в 2019 году составила 24026,71 рублей (2018 год – 22179,31 рублей).</w:t>
          </w:r>
        </w:p>
        <w:p>
          <w:pPr>
            <w:pStyle w:val="Normal"/>
            <w:ind w:firstLine="709"/>
            <w:jc w:val="both"/>
            <w:rPr/>
          </w:pPr>
          <w:r>
            <w:rPr/>
            <w:t xml:space="preserve">Рост среднемесячной номинальной начисленной заработной платы учителей муниципальных общеобразовательных учреждений обусловлен выделением средств на доведение средней заработной платы учителей до средней заработной платы в регионе. </w:t>
          </w:r>
        </w:p>
        <w:p>
          <w:pPr>
            <w:pStyle w:val="Normal"/>
            <w:ind w:firstLine="709"/>
            <w:jc w:val="both"/>
            <w:rPr/>
          </w:pPr>
          <w:r>
            <w:rPr/>
            <w:t>Среди городских округов лучший показатель в Брянске (29922 рубля), наиболее низкое значение – в городском округе Сельцо (22930 рублей).</w:t>
          </w:r>
        </w:p>
        <w:p>
          <w:pPr>
            <w:pStyle w:val="Normal"/>
            <w:ind w:firstLine="709"/>
            <w:jc w:val="both"/>
            <w:rPr/>
          </w:pPr>
          <w:r>
            <w:rPr/>
            <w:t xml:space="preserve">В муниципальных районах самое высокое значение показателя сохранилось в Брянском муниципальном районе (31663,1 рублей). Одни из самых низких показателей отмечены в Красногорском (20276,9 рублей) и Клинцовском (22206,0 рублей) муниципальных районах. </w:t>
          </w:r>
        </w:p>
        <w:p>
          <w:pPr>
            <w:pStyle w:val="Normal"/>
            <w:ind w:firstLine="709"/>
            <w:jc w:val="both"/>
            <w:rPr/>
          </w:pPr>
          <w:r>
            <w:rPr/>
          </w:r>
        </w:p>
        <w:p>
          <w:pPr>
            <w:pStyle w:val="Normal"/>
            <w:ind w:firstLine="709"/>
            <w:rPr>
              <w:b/>
              <w:b/>
            </w:rPr>
          </w:pPr>
          <w:r>
            <w:rPr>
              <w:b/>
            </w:rPr>
            <w:t>муниципальных учреждений культуры и искусства</w:t>
          </w:r>
        </w:p>
        <w:p>
          <w:pPr>
            <w:pStyle w:val="Normal"/>
            <w:suppressAutoHyphens w:val="true"/>
            <w:ind w:firstLine="709"/>
            <w:jc w:val="both"/>
            <w:rPr>
              <w:rFonts w:eastAsia="Calibri"/>
              <w:lang w:eastAsia="ar-SA"/>
            </w:rPr>
          </w:pPr>
          <w:r>
            <w:rPr>
              <w:rFonts w:eastAsia="Calibri"/>
              <w:lang w:eastAsia="ar-SA"/>
            </w:rPr>
            <w:t>По итогам  2019 года среднемесячная заработная плата работников государственных и муниципальных учреждений культуры составила  24236,85 рублей и увеличилась на 5,94 п.п. в отношении 2018 года (22878,19 рублей).</w:t>
          </w:r>
        </w:p>
        <w:p>
          <w:pPr>
            <w:pStyle w:val="Normal"/>
            <w:suppressAutoHyphens w:val="true"/>
            <w:jc w:val="both"/>
            <w:rPr>
              <w:rFonts w:eastAsia="Calibri" w:cs="Tahoma"/>
              <w:color w:val="000000"/>
              <w:lang w:eastAsia="ar-SA"/>
            </w:rPr>
          </w:pPr>
          <w:r>
            <w:rPr>
              <w:rFonts w:eastAsia="Calibri" w:cs="Tahoma"/>
              <w:color w:val="000000"/>
              <w:lang w:eastAsia="ar-SA"/>
            </w:rPr>
            <w:t xml:space="preserve">        </w:t>
          </w:r>
          <w:r>
            <w:rPr>
              <w:rFonts w:eastAsia="Calibri" w:cs="Tahoma"/>
              <w:color w:val="000000"/>
              <w:lang w:eastAsia="ar-SA"/>
            </w:rPr>
            <w:t xml:space="preserve">В городских округах наиболее высокая среднемесячная начисленная заработная плата  работников муниципальных  учреждений культуры и искусства в  2019 году  отмечена  в Фокино (32377,3 рублей) и Брянске (29144,6 рублей). </w:t>
          </w:r>
        </w:p>
        <w:p>
          <w:pPr>
            <w:pStyle w:val="Normal"/>
            <w:suppressAutoHyphens w:val="true"/>
            <w:jc w:val="both"/>
            <w:rPr>
              <w:rFonts w:eastAsia="Calibri" w:cs="Tahoma"/>
              <w:color w:val="000000"/>
              <w:lang w:eastAsia="ar-SA"/>
            </w:rPr>
          </w:pPr>
          <w:r>
            <w:rPr>
              <w:rFonts w:eastAsia="Calibri" w:cs="Tahoma"/>
              <w:color w:val="000000"/>
              <w:lang w:eastAsia="ar-SA"/>
            </w:rPr>
            <w:t xml:space="preserve">       </w:t>
          </w:r>
          <w:r>
            <w:rPr>
              <w:rFonts w:eastAsia="Calibri" w:cs="Tahoma"/>
              <w:color w:val="000000"/>
              <w:lang w:eastAsia="ar-SA"/>
            </w:rPr>
            <w:t xml:space="preserve">В </w:t>
          </w:r>
          <w:r>
            <w:rPr>
              <w:rFonts w:eastAsia="Calibri" w:cs="Calibri"/>
              <w:color w:val="000000"/>
              <w:lang w:eastAsia="ar-SA"/>
            </w:rPr>
            <w:t xml:space="preserve">муниципальных районах  </w:t>
          </w:r>
          <w:r>
            <w:rPr>
              <w:rFonts w:eastAsia="Calibri" w:cs="Tahoma"/>
              <w:color w:val="000000"/>
              <w:lang w:eastAsia="ar-SA"/>
            </w:rPr>
            <w:t>наиболее высокая среднемесячная начисленная заработная плата  работников муниципальных  учреждений культуры и искусства в  2019 году  отмечена  в Выгоничском районе (28329,6 рублей) и Брянском районе (27503,7 рубля), самая низкая начисленная  среднемесячная  заработная плата  работников муниципальных  учреждений культуры и искусства отмечена в Рогнединском районе (20640,2 рубля).</w:t>
          </w:r>
        </w:p>
        <w:p>
          <w:pPr>
            <w:pStyle w:val="Normal"/>
            <w:suppressAutoHyphens w:val="true"/>
            <w:jc w:val="both"/>
            <w:rPr>
              <w:rFonts w:eastAsia="Calibri" w:cs="Tahoma"/>
              <w:lang w:eastAsia="ar-SA"/>
            </w:rPr>
          </w:pPr>
          <w:r>
            <w:rPr>
              <w:rFonts w:eastAsia="Calibri" w:cs="Tahoma"/>
              <w:lang w:eastAsia="ar-SA"/>
            </w:rPr>
          </w:r>
        </w:p>
        <w:p>
          <w:pPr>
            <w:pStyle w:val="Normal"/>
            <w:suppressAutoHyphens w:val="true"/>
            <w:ind w:firstLine="709"/>
            <w:jc w:val="both"/>
            <w:rPr>
              <w:b/>
              <w:b/>
            </w:rPr>
          </w:pPr>
          <w:r>
            <w:rPr>
              <w:b/>
            </w:rPr>
            <w:t>муниципальных учреждений физической культуры и спорта</w:t>
          </w:r>
        </w:p>
        <w:p>
          <w:pPr>
            <w:pStyle w:val="Normal"/>
            <w:suppressAutoHyphens w:val="true"/>
            <w:ind w:firstLine="709"/>
            <w:jc w:val="both"/>
            <w:rPr>
              <w:rFonts w:eastAsia="Calibri"/>
              <w:lang w:eastAsia="ar-SA"/>
            </w:rPr>
          </w:pPr>
          <w:r>
            <w:rPr>
              <w:rFonts w:eastAsia="Calibri"/>
              <w:lang w:eastAsia="ar-SA"/>
            </w:rPr>
            <w:t>По итогам  2019 года среднемесячная заработная плата работников муниципальных учреждений физической культуры и спорта составила  11162,15 рубля и увеличилась на 22,66 п.п. в отношении 2018 года (9100,35 рублей).</w:t>
          </w:r>
        </w:p>
        <w:p>
          <w:pPr>
            <w:pStyle w:val="Normal"/>
            <w:suppressAutoHyphens w:val="true"/>
            <w:jc w:val="both"/>
            <w:rPr>
              <w:rFonts w:eastAsia="Calibri" w:cs="Tahoma"/>
              <w:color w:val="000000"/>
              <w:lang w:eastAsia="ar-SA"/>
            </w:rPr>
          </w:pPr>
          <w:r>
            <w:rPr>
              <w:rFonts w:eastAsia="Calibri" w:cs="Tahoma"/>
              <w:color w:val="000000"/>
              <w:lang w:eastAsia="ar-SA"/>
            </w:rPr>
            <w:t xml:space="preserve">        </w:t>
          </w:r>
          <w:r>
            <w:rPr>
              <w:rFonts w:eastAsia="Calibri" w:cs="Tahoma"/>
              <w:color w:val="000000"/>
              <w:lang w:eastAsia="ar-SA"/>
            </w:rPr>
            <w:t xml:space="preserve">В городских округах наиболее высокая среднемесячная начисленная заработная плата  работников муниципальных  учреждений физической культуры и спорта в  2019 году  отмечена  в Брянске (23473,2 рубля) и Фокино (19781,2 рубль). </w:t>
          </w:r>
        </w:p>
        <w:p>
          <w:pPr>
            <w:pStyle w:val="Normal"/>
            <w:suppressAutoHyphens w:val="true"/>
            <w:ind w:firstLine="708"/>
            <w:jc w:val="both"/>
            <w:rPr>
              <w:rFonts w:eastAsia="Calibri" w:cs="Tahoma"/>
              <w:color w:val="000000"/>
              <w:lang w:eastAsia="ar-SA"/>
            </w:rPr>
          </w:pPr>
          <w:r>
            <w:rPr>
              <w:rFonts w:eastAsia="Calibri" w:cs="Tahoma"/>
              <w:color w:val="000000"/>
              <w:lang w:eastAsia="ar-SA"/>
            </w:rPr>
            <w:t xml:space="preserve">       </w:t>
          </w:r>
          <w:r>
            <w:rPr>
              <w:rFonts w:eastAsia="Calibri" w:cs="Tahoma"/>
              <w:color w:val="000000"/>
              <w:lang w:eastAsia="ar-SA"/>
            </w:rPr>
            <w:t xml:space="preserve">В </w:t>
          </w:r>
          <w:r>
            <w:rPr>
              <w:rFonts w:eastAsia="Calibri" w:cs="Calibri"/>
              <w:color w:val="000000"/>
              <w:lang w:eastAsia="ar-SA"/>
            </w:rPr>
            <w:t xml:space="preserve">муниципальных районах  </w:t>
          </w:r>
          <w:r>
            <w:rPr>
              <w:rFonts w:eastAsia="Calibri" w:cs="Tahoma"/>
              <w:color w:val="000000"/>
              <w:lang w:eastAsia="ar-SA"/>
            </w:rPr>
            <w:t>наиболее высокая среднемесячная начисленная заработная плата  работников муниципальных  учреждений физической культуры и спорта в  2019 году  отмечена  в Дубровском районе (27450,7 рублей) и Брянском районе (20827,7 рублей), самая низкая начисленная  среднемесячная  заработная плата  работников муниципальных  учреждений культуры и искусства отмечена в Брасовском районе (11038,5 рублей).</w:t>
          </w:r>
        </w:p>
        <w:p>
          <w:pPr>
            <w:pStyle w:val="21"/>
            <w:spacing w:lineRule="auto" w:line="240" w:before="0" w:after="0"/>
            <w:ind w:left="0" w:firstLine="425"/>
            <w:jc w:val="center"/>
            <w:rPr>
              <w:u w:val="single"/>
            </w:rPr>
          </w:pPr>
          <w:r>
            <w:rPr>
              <w:u w:val="single"/>
            </w:rPr>
          </w:r>
        </w:p>
        <w:p>
          <w:pPr>
            <w:pStyle w:val="21"/>
            <w:spacing w:lineRule="auto" w:line="240" w:before="0" w:after="0"/>
            <w:ind w:left="0" w:firstLine="425"/>
            <w:jc w:val="center"/>
            <w:rPr>
              <w:u w:val="single"/>
            </w:rPr>
          </w:pPr>
          <w:r>
            <w:rPr>
              <w:u w:val="single"/>
            </w:rPr>
            <w:t>Зоны, требующие приоритетного внимания органов местного самоуправления городских округов и муниципальных районов по разделу «Доходы населения»</w:t>
          </w:r>
        </w:p>
        <w:p>
          <w:pPr>
            <w:pStyle w:val="Normal"/>
            <w:spacing w:before="0" w:after="0"/>
            <w:ind w:firstLine="426"/>
            <w:contextualSpacing/>
            <w:jc w:val="both"/>
            <w:rPr>
              <w:bCs/>
            </w:rPr>
          </w:pPr>
          <w:r>
            <w:rPr>
              <w:bCs/>
            </w:rPr>
            <w:t>Поэтапное повышение средней заработной платы педагогических работников, работников сферы культуры и учреждений физической культуры и спорта.</w:t>
          </w:r>
        </w:p>
        <w:p>
          <w:pPr>
            <w:pStyle w:val="Normal"/>
            <w:spacing w:before="0" w:after="0"/>
            <w:contextualSpacing/>
            <w:rPr>
              <w:bCs/>
              <w:i/>
              <w:i/>
              <w:color w:val="FF0000"/>
            </w:rPr>
          </w:pPr>
          <w:r>
            <w:rPr>
              <w:bCs/>
              <w:i/>
              <w:color w:val="FF0000"/>
            </w:rPr>
          </w:r>
        </w:p>
        <w:p>
          <w:pPr>
            <w:pStyle w:val="Normal"/>
            <w:spacing w:before="0" w:after="0"/>
            <w:contextualSpacing/>
            <w:jc w:val="center"/>
            <w:rPr>
              <w:u w:val="single"/>
            </w:rPr>
          </w:pPr>
          <w:r>
            <w:rPr>
              <w:u w:val="single"/>
            </w:rPr>
            <w:t>Перечень мероприятий по повышению результативности деятельности органов местного самоуправления городских округов и муниципальных районов по разделу «Доходы населения»</w:t>
          </w:r>
        </w:p>
        <w:p>
          <w:pPr>
            <w:pStyle w:val="Normal"/>
            <w:numPr>
              <w:ilvl w:val="0"/>
              <w:numId w:val="8"/>
            </w:numPr>
            <w:ind w:left="0" w:firstLine="709"/>
            <w:jc w:val="both"/>
            <w:rPr/>
          </w:pPr>
          <w:r>
            <w:rPr/>
            <w:t>Реализация Указа Президента Российской Федерации от 07.05.2018 № 204 «О национальных целях и стратегических задачах развития Российской Федерации на период до 2024 года», в части обеспечения устойчивого роста реальных доходов граждан к 2024 году.</w:t>
          </w:r>
        </w:p>
        <w:p>
          <w:pPr>
            <w:pStyle w:val="Normal"/>
            <w:numPr>
              <w:ilvl w:val="0"/>
              <w:numId w:val="8"/>
            </w:numPr>
            <w:ind w:left="0" w:firstLine="709"/>
            <w:jc w:val="both"/>
            <w:rPr/>
          </w:pPr>
          <w:r>
            <w:rPr/>
            <w:t>Включение в территориальные соглашения по регулированию социально-трудовых отношений и коллективные договоры мероприятий, направленных на повышение заработной платы работников крупных и средних предприятий и некоммерческих организаций.</w:t>
          </w:r>
        </w:p>
        <w:p>
          <w:pPr>
            <w:pStyle w:val="Normal"/>
            <w:numPr>
              <w:ilvl w:val="0"/>
              <w:numId w:val="8"/>
            </w:numPr>
            <w:ind w:left="0" w:firstLine="709"/>
            <w:jc w:val="both"/>
            <w:rPr/>
          </w:pPr>
          <w:r>
            <w:rPr/>
            <w:t>Проведение в рамках системы социального партнерства совместно с работодателями работы, направленной на легализацию выплаты заработной платы, недопущение задолженности по заработной плате.</w:t>
          </w:r>
        </w:p>
        <w:p>
          <w:pPr>
            <w:pStyle w:val="Normal"/>
            <w:jc w:val="both"/>
            <w:rPr/>
          </w:pPr>
          <w:r>
            <w:rPr/>
          </w:r>
        </w:p>
        <w:p>
          <w:pPr>
            <w:pStyle w:val="Normal"/>
            <w:jc w:val="center"/>
            <w:rPr>
              <w:shd w:fill="auto" w:val="clear"/>
            </w:rPr>
          </w:pPr>
          <w:r>
            <w:rPr>
              <w:b/>
              <w:bCs/>
              <w:shd w:fill="auto" w:val="clear"/>
            </w:rPr>
            <w:t>2. ДОШКОЛЬНОЕ ОБРАЗОВАНИЕ</w:t>
          </w:r>
        </w:p>
        <w:p>
          <w:pPr>
            <w:pStyle w:val="Normal"/>
            <w:ind w:firstLine="709"/>
            <w:jc w:val="both"/>
            <w:rPr>
              <w:shd w:fill="FFFF00" w:val="clear"/>
            </w:rPr>
          </w:pPr>
          <w:r>
            <w:rPr>
              <w:shd w:fill="FFFF00" w:val="clear"/>
            </w:rPr>
          </w:r>
        </w:p>
        <w:p>
          <w:pPr>
            <w:pStyle w:val="Normal"/>
            <w:ind w:firstLine="709"/>
            <w:jc w:val="both"/>
            <w:rPr>
              <w:shd w:fill="FFFF00" w:val="clear"/>
            </w:rPr>
          </w:pPr>
          <w:r>
            <w:rPr>
              <w:rFonts w:eastAsia="Calibri"/>
              <w:shd w:fill="auto" w:val="clear"/>
              <w:lang w:eastAsia="en-US"/>
            </w:rPr>
            <w:t xml:space="preserve">Численность детей в возрасте от 0 до 7 лет в 2019 году в Брянской области по данным Росстата  составляет 99396 человек,  </w:t>
          </w:r>
          <w:r>
            <w:rPr>
              <w:rFonts w:eastAsia="Calibri"/>
              <w:color w:val="000000"/>
              <w:shd w:fill="auto" w:val="clear"/>
              <w:lang w:eastAsia="en-US"/>
            </w:rPr>
            <w:t xml:space="preserve">в том числе детей от 0 до 3 лет – 45102 человек, от 4 до 7 лет – 54294человек. </w:t>
          </w:r>
        </w:p>
        <w:p>
          <w:pPr>
            <w:pStyle w:val="Normal"/>
            <w:ind w:firstLine="709"/>
            <w:jc w:val="both"/>
            <w:rPr>
              <w:rFonts w:eastAsia="Calibri"/>
              <w:color w:val="000000"/>
              <w:lang w:eastAsia="en-US"/>
            </w:rPr>
          </w:pPr>
          <w:r>
            <w:rPr>
              <w:rFonts w:eastAsia="Calibri"/>
              <w:color w:val="000000"/>
              <w:lang w:eastAsia="en-US"/>
            </w:rPr>
          </w:r>
        </w:p>
        <w:p>
          <w:pPr>
            <w:pStyle w:val="Normal"/>
            <w:ind w:firstLine="709"/>
            <w:jc w:val="both"/>
            <w:rPr>
              <w:shd w:fill="auto" w:val="clear"/>
            </w:rPr>
          </w:pPr>
          <w:r>
            <w:rPr>
              <w:b/>
              <w:shd w:fill="auto" w:val="clear"/>
            </w:rPr>
            <w:t>9.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1-6 лет (процентов)</w:t>
          </w:r>
        </w:p>
        <w:p>
          <w:pPr>
            <w:pStyle w:val="Normal"/>
            <w:ind w:firstLine="709"/>
            <w:jc w:val="both"/>
            <w:rPr>
              <w:shd w:fill="auto" w:val="clear"/>
            </w:rPr>
          </w:pPr>
          <w:r>
            <w:rPr>
              <w:rFonts w:eastAsia="Calibri"/>
              <w:shd w:fill="auto" w:val="clear"/>
              <w:lang w:eastAsia="en-US"/>
            </w:rPr>
            <w:t xml:space="preserve">В целом по Брянской области в 2019 году показатель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1-6 лет» составил 57,2% (в 2018 году — 55,3%). </w:t>
          </w:r>
        </w:p>
        <w:p>
          <w:pPr>
            <w:pStyle w:val="Normal"/>
            <w:ind w:firstLine="709"/>
            <w:jc w:val="both"/>
            <w:rPr>
              <w:shd w:fill="auto" w:val="clear"/>
            </w:rPr>
          </w:pPr>
          <w:r>
            <w:rPr>
              <w:rFonts w:eastAsia="Calibri"/>
              <w:shd w:fill="auto" w:val="clear"/>
              <w:lang w:eastAsia="en-US"/>
            </w:rPr>
            <w:t>При этом рост произошел во всех городских округах: максимальный в Сельцо на 15,8 п.п. и составил 100%.</w:t>
          </w:r>
        </w:p>
        <w:p>
          <w:pPr>
            <w:pStyle w:val="Normal"/>
            <w:ind w:firstLine="709"/>
            <w:jc w:val="both"/>
            <w:rPr>
              <w:shd w:fill="auto" w:val="clear"/>
            </w:rPr>
          </w:pPr>
          <w:r>
            <w:rPr>
              <w:rFonts w:eastAsia="Calibri"/>
              <w:shd w:fill="auto" w:val="clear"/>
              <w:lang w:eastAsia="en-US"/>
            </w:rPr>
            <w:t>Изменение данного показателя  в 2019 году по сравнению с предыдущим годом произошло во всех муниципальных районах. Максимальное значение имеет показатель Жуковского муниципального района (73,5%), минимальный в Красногорском муниципальном районе (31,7%).</w:t>
          </w:r>
        </w:p>
        <w:p>
          <w:pPr>
            <w:pStyle w:val="Normal"/>
            <w:ind w:firstLine="709"/>
            <w:jc w:val="both"/>
            <w:rPr>
              <w:rFonts w:ascii="Times New Roman" w:hAnsi="Times New Roman" w:eastAsia="Calibri" w:cs="Times New Roman"/>
              <w:sz w:val="28"/>
              <w:szCs w:val="28"/>
              <w:lang w:eastAsia="en-US"/>
            </w:rPr>
          </w:pPr>
          <w:r>
            <w:rPr>
              <w:rFonts w:eastAsia="Calibri" w:cs="Times New Roman"/>
              <w:sz w:val="28"/>
              <w:szCs w:val="28"/>
              <w:lang w:eastAsia="en-US"/>
            </w:rPr>
          </w:r>
        </w:p>
        <w:p>
          <w:pPr>
            <w:pStyle w:val="Normal"/>
            <w:ind w:firstLine="709"/>
            <w:jc w:val="both"/>
            <w:rPr>
              <w:shd w:fill="auto" w:val="clear"/>
            </w:rPr>
          </w:pPr>
          <w:r>
            <w:rPr>
              <w:b/>
              <w:shd w:fill="auto" w:val="clear"/>
            </w:rPr>
            <w:t>10. Доля</w:t>
          </w:r>
          <w:r>
            <w:rPr>
              <w:shd w:fill="auto" w:val="clear"/>
            </w:rPr>
            <w:t xml:space="preserve"> </w:t>
          </w:r>
          <w:r>
            <w:rPr>
              <w:b/>
              <w:shd w:fill="auto" w:val="clear"/>
            </w:rPr>
            <w:t>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(процентов)</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в целом по Брянской области снизилась на 0,74 процентных пункта и составила в 2019 году 6,38 процента (2018 год – 7,12 процента).</w:t>
          </w:r>
        </w:p>
        <w:p>
          <w:pPr>
            <w:pStyle w:val="Normal"/>
            <w:spacing w:lineRule="auto" w:line="240" w:before="0" w:after="0"/>
            <w:ind w:firstLine="709"/>
            <w:jc w:val="both"/>
            <w:rPr>
              <w:shd w:fill="auto" w:val="clear"/>
            </w:rPr>
          </w:pPr>
          <w:r>
            <w:rPr>
              <w:rFonts w:cs="Times New Roman"/>
              <w:sz w:val="28"/>
              <w:szCs w:val="28"/>
              <w:shd w:fill="auto" w:val="clear"/>
            </w:rPr>
            <w:t>Снизилась доля детей в возрасте 1-6 лет, состоящих на учете для определения в муниципальные дошкольные образовательные учреждения в г. Фокино на 5,8 процентных пункта и составила 24,9 процента. В г. Новозыбков показатель остался без изменений. В г. Клинцы значение показателя увеличилось на 1,2 процентных пункта.</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В 3 муниципальных районах зафиксировано увеличение доли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причем максимальное увеличение отмечено в Жуковском (на 3,6 п.п.) и Севском (на 1,8 п.п.)  районах.</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shd w:fill="auto" w:val="clear"/>
            </w:rPr>
            <w:t>В 11 муниципальных районах все дети в возрасте 1-6 лет обеспечены местами в муниципальных дошкольных образовательных учреждениях.</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r>
        </w:p>
        <w:p>
          <w:pPr>
            <w:pStyle w:val="Normal"/>
            <w:ind w:firstLine="709"/>
            <w:jc w:val="both"/>
            <w:rPr>
              <w:shd w:fill="auto" w:val="clear"/>
            </w:rPr>
          </w:pPr>
          <w:r>
            <w:rPr>
              <w:b/>
              <w:shd w:fill="auto" w:val="clear"/>
            </w:rPr>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pPr>
            <w:pStyle w:val="Normal"/>
            <w:ind w:firstLine="709"/>
            <w:jc w:val="both"/>
            <w:rPr>
              <w:shd w:fill="auto" w:val="clear"/>
            </w:rPr>
          </w:pPr>
          <w:r>
            <w:rPr>
              <w:shd w:fill="auto" w:val="clear"/>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составила в 2019 году 2,16% от общего количества дошкольных образовательных учреждений (в 2018 – 2,38%).</w:t>
          </w:r>
        </w:p>
        <w:p>
          <w:pPr>
            <w:pStyle w:val="Normal"/>
            <w:shd w:val="clear" w:color="auto" w:fill="FFFFFF"/>
            <w:ind w:firstLine="720"/>
            <w:jc w:val="both"/>
            <w:rPr>
              <w:rFonts w:eastAsia="MS Mincho"/>
              <w:color w:val="000000"/>
              <w:lang w:eastAsia="ja-JP"/>
            </w:rPr>
          </w:pPr>
          <w:r>
            <w:rPr>
              <w:rFonts w:eastAsia="MS Mincho"/>
              <w:color w:val="000000"/>
              <w:lang w:eastAsia="ja-JP"/>
            </w:rPr>
          </w:r>
        </w:p>
        <w:p>
          <w:pPr>
            <w:pStyle w:val="Normal"/>
            <w:jc w:val="center"/>
            <w:rPr>
              <w:shd w:fill="FFFF00" w:val="clear"/>
            </w:rPr>
          </w:pPr>
          <w:r>
            <w:rPr>
              <w:shd w:fill="FFFF00" w:val="clear"/>
            </w:rPr>
          </w:r>
        </w:p>
        <w:p>
          <w:pPr>
            <w:pStyle w:val="Normal"/>
            <w:jc w:val="center"/>
            <w:rPr>
              <w:shd w:fill="auto" w:val="clear"/>
            </w:rPr>
          </w:pPr>
          <w:r>
            <w:rPr>
              <w:bCs/>
              <w:u w:val="single"/>
              <w:shd w:fill="auto" w:val="clear"/>
            </w:rPr>
            <w:t xml:space="preserve">Зоны, требующие приоритетного внимания </w:t>
          </w:r>
          <w:r>
            <w:rPr>
              <w:u w:val="single"/>
              <w:shd w:fill="auto" w:val="clear"/>
            </w:rPr>
            <w:t>органов местного самоуправления</w:t>
          </w:r>
          <w:r>
            <w:rPr>
              <w:bCs/>
              <w:u w:val="single"/>
              <w:shd w:fill="auto" w:val="clear"/>
            </w:rPr>
            <w:t xml:space="preserve"> городских округов и муниципальных районов в сфере «Дошкольное образование»</w:t>
          </w:r>
        </w:p>
        <w:p>
          <w:pPr>
            <w:pStyle w:val="ListParagraph"/>
            <w:numPr>
              <w:ilvl w:val="0"/>
              <w:numId w:val="1"/>
            </w:numPr>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Ликвидация очередности детей в возрасте от 2 до 3 лет в дошкольные образовательные организации.</w:t>
          </w:r>
          <w:r>
            <w:rPr>
              <w:rFonts w:ascii="Times New Roman" w:hAnsi="Times New Roman"/>
              <w:bCs/>
              <w:sz w:val="28"/>
              <w:szCs w:val="28"/>
              <w:shd w:fill="auto" w:val="clear"/>
            </w:rPr>
            <w:t xml:space="preserve"> </w:t>
          </w:r>
        </w:p>
        <w:p>
          <w:pPr>
            <w:pStyle w:val="ListParagraph"/>
            <w:numPr>
              <w:ilvl w:val="0"/>
              <w:numId w:val="1"/>
            </w:numPr>
            <w:spacing w:lineRule="auto" w:line="240" w:before="0" w:after="0"/>
            <w:ind w:left="0" w:firstLine="709"/>
            <w:contextualSpacing/>
            <w:jc w:val="both"/>
            <w:rPr>
              <w:shd w:fill="auto" w:val="clear"/>
            </w:rPr>
          </w:pPr>
          <w:r>
            <w:rPr>
              <w:rFonts w:ascii="Times New Roman" w:hAnsi="Times New Roman"/>
              <w:bCs/>
              <w:sz w:val="28"/>
              <w:szCs w:val="28"/>
              <w:shd w:fill="auto" w:val="clear"/>
            </w:rPr>
            <w:t>Модернизация материально-технической и учебно-методической базы дошкольных образовательных организаций в соответствии с федеральным государственным образовательным стандартом дошкольного образования.</w:t>
          </w:r>
        </w:p>
        <w:p>
          <w:pPr>
            <w:pStyle w:val="ListParagraph"/>
            <w:numPr>
              <w:ilvl w:val="0"/>
              <w:numId w:val="1"/>
            </w:numPr>
            <w:spacing w:lineRule="auto" w:line="240" w:before="0" w:after="0"/>
            <w:ind w:left="0" w:firstLine="709"/>
            <w:contextualSpacing/>
            <w:jc w:val="both"/>
            <w:rPr>
              <w:shd w:fill="auto" w:val="clear"/>
            </w:rPr>
          </w:pPr>
          <w:r>
            <w:rPr>
              <w:rFonts w:ascii="Times New Roman" w:hAnsi="Times New Roman"/>
              <w:sz w:val="28"/>
              <w:szCs w:val="28"/>
              <w:shd w:fill="auto" w:val="clear"/>
              <w:lang w:eastAsia="ru-RU"/>
            </w:rPr>
            <w:t>Обновление кадрового потенциала системы дошкольного образования, повышение престижности и привлекательности профессии педагога.</w:t>
          </w:r>
        </w:p>
        <w:p>
          <w:pPr>
            <w:pStyle w:val="ListParagraph"/>
            <w:numPr>
              <w:ilvl w:val="0"/>
              <w:numId w:val="1"/>
            </w:numPr>
            <w:spacing w:lineRule="auto" w:line="240" w:before="0" w:after="0"/>
            <w:ind w:left="0" w:firstLine="709"/>
            <w:contextualSpacing/>
            <w:jc w:val="both"/>
            <w:rPr>
              <w:shd w:fill="auto" w:val="clear"/>
            </w:rPr>
          </w:pPr>
          <w:r>
            <w:rPr>
              <w:rFonts w:ascii="Times New Roman" w:hAnsi="Times New Roman"/>
              <w:sz w:val="28"/>
              <w:szCs w:val="28"/>
              <w:shd w:fill="auto" w:val="clear"/>
              <w:lang w:eastAsia="ru-RU"/>
            </w:rPr>
            <w:t xml:space="preserve"> </w:t>
          </w:r>
          <w:r>
            <w:rPr>
              <w:rFonts w:ascii="Times New Roman" w:hAnsi="Times New Roman"/>
              <w:bCs/>
              <w:sz w:val="28"/>
              <w:szCs w:val="28"/>
              <w:shd w:fill="auto" w:val="clear"/>
            </w:rPr>
            <w:t>Развитие и поддержка негосударственного сектора в сфере дошкольного образования.</w:t>
          </w:r>
        </w:p>
        <w:p>
          <w:pPr>
            <w:pStyle w:val="ListParagraph"/>
            <w:numPr>
              <w:ilvl w:val="0"/>
              <w:numId w:val="1"/>
            </w:numPr>
            <w:spacing w:lineRule="auto" w:line="240" w:before="0" w:after="0"/>
            <w:ind w:left="0" w:firstLine="709"/>
            <w:contextualSpacing/>
            <w:jc w:val="both"/>
            <w:rPr>
              <w:shd w:fill="auto" w:val="clear"/>
            </w:rPr>
          </w:pPr>
          <w:r>
            <w:rPr>
              <w:rFonts w:ascii="Times New Roman" w:hAnsi="Times New Roman"/>
              <w:sz w:val="28"/>
              <w:szCs w:val="28"/>
              <w:shd w:fill="auto" w:val="clear"/>
              <w:lang w:eastAsia="ru-RU"/>
            </w:rPr>
            <w:t>Завершение строительства и реконструкции детских садов.</w:t>
          </w:r>
        </w:p>
        <w:p>
          <w:pPr>
            <w:pStyle w:val="Normal"/>
            <w:jc w:val="center"/>
            <w:rPr>
              <w:i/>
              <w:i/>
              <w:u w:val="single"/>
              <w:shd w:fill="auto" w:val="clear"/>
            </w:rPr>
          </w:pPr>
          <w:r>
            <w:rPr>
              <w:i/>
              <w:u w:val="single"/>
              <w:shd w:fill="auto" w:val="clear"/>
            </w:rPr>
          </w:r>
        </w:p>
        <w:p>
          <w:pPr>
            <w:pStyle w:val="Normal"/>
            <w:ind w:firstLine="709"/>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w:t>
          </w:r>
          <w:r>
            <w:rPr>
              <w:bCs/>
              <w:u w:val="single"/>
              <w:shd w:fill="auto" w:val="clear"/>
            </w:rPr>
            <w:t xml:space="preserve"> городских округов и муниципальных районов в сфере «Дошкольное образование»</w:t>
          </w:r>
        </w:p>
        <w:p>
          <w:pPr>
            <w:pStyle w:val="Normal"/>
            <w:ind w:firstLine="709"/>
            <w:jc w:val="both"/>
            <w:rPr>
              <w:shd w:fill="auto" w:val="clear"/>
            </w:rPr>
          </w:pPr>
          <w:r>
            <w:rPr>
              <w:rFonts w:eastAsia="Calibri"/>
              <w:shd w:fill="auto" w:val="clear"/>
            </w:rPr>
            <w:t>1. Обеспечение доступности дошкольного образования для детей в возрасте до 3 лет путем создания дополнительных мест в дошкольных учреждениях для детей раннего возраста.</w:t>
          </w:r>
        </w:p>
        <w:p>
          <w:pPr>
            <w:pStyle w:val="Normal"/>
            <w:ind w:firstLine="709"/>
            <w:jc w:val="both"/>
            <w:rPr>
              <w:shd w:fill="auto" w:val="clear"/>
            </w:rPr>
          </w:pPr>
          <w:r>
            <w:rPr>
              <w:rFonts w:eastAsia="Calibri"/>
              <w:shd w:fill="auto" w:val="clear"/>
            </w:rPr>
            <w:t>2. Создание условий для реализации задач федерального государственного стандарта дошкольного образования с целью обеспечения равенства возможностей для каждого ребенка в получении качественного дошкольного образования.</w:t>
          </w:r>
        </w:p>
        <w:p>
          <w:pPr>
            <w:pStyle w:val="Normal"/>
            <w:ind w:firstLine="709"/>
            <w:jc w:val="both"/>
            <w:rPr>
              <w:shd w:fill="auto" w:val="clear"/>
            </w:rPr>
          </w:pPr>
          <w:r>
            <w:rPr>
              <w:rFonts w:eastAsia="Calibri"/>
              <w:shd w:fill="auto" w:val="clear"/>
            </w:rPr>
            <w:t>3. Формирование инфраструктуры услуг по сопровождению раннего развития детей (0 - 3 года), включая широкую информационную поддержку семей.</w:t>
          </w:r>
        </w:p>
        <w:p>
          <w:pPr>
            <w:pStyle w:val="Normal"/>
            <w:rPr>
              <w:shd w:fill="FFFF00" w:val="clear"/>
            </w:rPr>
          </w:pPr>
          <w:r>
            <w:rPr>
              <w:shd w:fill="FFFF00" w:val="clear"/>
            </w:rPr>
          </w:r>
        </w:p>
        <w:p>
          <w:pPr>
            <w:pStyle w:val="Normal"/>
            <w:jc w:val="center"/>
            <w:rPr>
              <w:shd w:fill="auto" w:val="clear"/>
            </w:rPr>
          </w:pPr>
          <w:r>
            <w:rPr>
              <w:b/>
              <w:bCs/>
              <w:shd w:fill="auto" w:val="clear"/>
            </w:rPr>
            <w:t>3. ОБЩЕЕ И ДОПОЛНИТЕЛЬНОЕ ОБРАЗОВАНИЕ</w:t>
          </w:r>
        </w:p>
        <w:p>
          <w:pPr>
            <w:pStyle w:val="Normal"/>
            <w:tabs>
              <w:tab w:val="clear" w:pos="708"/>
              <w:tab w:val="left" w:pos="9356" w:leader="none"/>
              <w:tab w:val="left" w:pos="10260" w:leader="none"/>
            </w:tabs>
            <w:ind w:firstLine="709"/>
            <w:jc w:val="both"/>
            <w:rPr>
              <w:shd w:fill="auto" w:val="clear"/>
            </w:rPr>
          </w:pPr>
          <w:r>
            <w:rPr>
              <w:shd w:fill="auto" w:val="clear"/>
            </w:rPr>
          </w:r>
        </w:p>
        <w:p>
          <w:pPr>
            <w:pStyle w:val="Normal"/>
            <w:ind w:firstLine="709"/>
            <w:jc w:val="both"/>
            <w:rPr>
              <w:shd w:fill="auto" w:val="clear"/>
            </w:rPr>
          </w:pPr>
          <w:r>
            <w:rPr>
              <w:b/>
              <w:bCs/>
              <w:iCs/>
              <w:shd w:fill="auto" w:val="clear"/>
            </w:rPr>
            <w:t>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pPr>
            <w:pStyle w:val="Normal"/>
            <w:ind w:firstLine="700"/>
            <w:jc w:val="both"/>
            <w:rPr>
              <w:shd w:fill="auto" w:val="clear"/>
            </w:rPr>
          </w:pPr>
          <w:r>
            <w:rPr>
              <w:rFonts w:eastAsia="Calibri"/>
              <w:shd w:fill="auto" w:val="clear"/>
              <w:lang w:eastAsia="en-US"/>
            </w:rPr>
            <w:t>В 2019 году доля выпускников 11 (12) классов, не получивших аттестат о среднем общем образовании, составила 0,38%, что ниже показателя за 2018 год (0,7%).</w:t>
          </w:r>
        </w:p>
        <w:p>
          <w:pPr>
            <w:pStyle w:val="Normal"/>
            <w:ind w:firstLine="709"/>
            <w:jc w:val="both"/>
            <w:rPr>
              <w:shd w:fill="auto" w:val="clear"/>
            </w:rPr>
          </w:pPr>
          <w:r>
            <w:rPr>
              <w:rFonts w:eastAsia="Calibri"/>
              <w:bCs/>
              <w:shd w:fill="auto" w:val="clear"/>
              <w:lang w:eastAsia="en-US"/>
            </w:rPr>
            <w:t>По сравнению с 2018 годом улучшились результаты в Гордеевском муниципальном районе (с 2,2% до 2%) и Суражском муниципальном районе (с 1,8% до 1,1%).</w:t>
          </w:r>
        </w:p>
        <w:p>
          <w:pPr>
            <w:pStyle w:val="Normal"/>
            <w:keepNext w:val="true"/>
            <w:keepLines/>
            <w:spacing w:before="0" w:after="0"/>
            <w:ind w:firstLine="709"/>
            <w:contextualSpacing/>
            <w:jc w:val="both"/>
            <w:rPr>
              <w:shd w:fill="auto" w:val="clear"/>
            </w:rPr>
          </w:pPr>
          <w:r>
            <w:rPr>
              <w:rFonts w:eastAsia="Calibri"/>
              <w:shd w:fill="auto" w:val="clear"/>
              <w:lang w:eastAsia="en-US"/>
            </w:rPr>
            <w:t>Улучшению значения показателя способствовали разработанные образовательными организациями программы повышения качества образовательной подготовки обучающихся с включением в них следующих мероприятий:</w:t>
          </w:r>
        </w:p>
        <w:p>
          <w:pPr>
            <w:pStyle w:val="Normal"/>
            <w:widowControl w:val="false"/>
            <w:ind w:firstLine="709"/>
            <w:jc w:val="both"/>
            <w:rPr>
              <w:shd w:fill="auto" w:val="clear"/>
            </w:rPr>
          </w:pPr>
          <w:r>
            <w:rPr>
              <w:rFonts w:eastAsia="Calibri"/>
              <w:shd w:fill="auto" w:val="clear"/>
              <w:lang w:eastAsia="en-US"/>
            </w:rPr>
            <w:t>- внесение изменений в учебные планы в части распределения часов вариативной части, выбора факультативных и элективных курсов;</w:t>
          </w:r>
        </w:p>
        <w:p>
          <w:pPr>
            <w:pStyle w:val="Normal"/>
            <w:widowControl w:val="false"/>
            <w:ind w:firstLine="709"/>
            <w:jc w:val="both"/>
            <w:rPr>
              <w:shd w:fill="auto" w:val="clear"/>
            </w:rPr>
          </w:pPr>
          <w:r>
            <w:rPr>
              <w:rFonts w:eastAsia="Calibri"/>
              <w:shd w:fill="auto" w:val="clear"/>
              <w:lang w:eastAsia="en-US"/>
            </w:rPr>
            <w:t>- внесение корректив в рабочие программы по предметам с учетом предметно-содержательного анализа оценочных процедур;</w:t>
          </w:r>
        </w:p>
        <w:p>
          <w:pPr>
            <w:pStyle w:val="Normal"/>
            <w:widowControl w:val="false"/>
            <w:ind w:firstLine="709"/>
            <w:jc w:val="both"/>
            <w:rPr>
              <w:shd w:fill="auto" w:val="clear"/>
            </w:rPr>
          </w:pPr>
          <w:r>
            <w:rPr>
              <w:rFonts w:eastAsia="Calibri"/>
              <w:shd w:fill="auto" w:val="clear"/>
              <w:lang w:eastAsia="en-US"/>
            </w:rPr>
            <w:t>- включение в планы внутришкольного контроля проверок уровня и качества обученности учащихся по разделам и темам, которые были усвоены на низком уровне;</w:t>
          </w:r>
        </w:p>
        <w:p>
          <w:pPr>
            <w:pStyle w:val="Normal"/>
            <w:widowControl w:val="false"/>
            <w:spacing w:lineRule="auto" w:line="252"/>
            <w:ind w:firstLine="709"/>
            <w:jc w:val="both"/>
            <w:rPr>
              <w:shd w:fill="auto" w:val="clear"/>
            </w:rPr>
          </w:pPr>
          <w:r>
            <w:rPr>
              <w:rFonts w:eastAsia="Calibri"/>
              <w:shd w:fill="auto" w:val="clear"/>
              <w:lang w:eastAsia="en-US"/>
            </w:rPr>
            <w:t>- внесение изменений в методические темы педагогов;</w:t>
          </w:r>
        </w:p>
        <w:p>
          <w:pPr>
            <w:pStyle w:val="Normal"/>
            <w:ind w:firstLine="709"/>
            <w:jc w:val="both"/>
            <w:rPr>
              <w:shd w:fill="auto" w:val="clear"/>
            </w:rPr>
          </w:pPr>
          <w:r>
            <w:rPr>
              <w:rFonts w:eastAsia="Calibri"/>
              <w:shd w:fill="auto" w:val="clear"/>
              <w:lang w:eastAsia="en-US"/>
            </w:rPr>
            <w:t>- определение тематики педагогических советов, заседаний методических объединений.</w:t>
          </w:r>
        </w:p>
        <w:p>
          <w:pPr>
            <w:pStyle w:val="Normal"/>
            <w:spacing w:before="0" w:after="0"/>
            <w:ind w:firstLine="709"/>
            <w:contextualSpacing/>
            <w:jc w:val="both"/>
            <w:rPr>
              <w:shd w:fill="FFFF00" w:val="clear"/>
            </w:rPr>
          </w:pPr>
          <w:r>
            <w:rPr>
              <w:rFonts w:eastAsia="Calibri"/>
              <w:shd w:fill="auto" w:val="clear"/>
              <w:lang w:eastAsia="en-US"/>
            </w:rPr>
            <w:t xml:space="preserve">Отрицательная динамика показателя доли выпускников, </w:t>
          </w:r>
          <w:r>
            <w:rPr>
              <w:rFonts w:eastAsia="Calibri"/>
              <w:bCs/>
              <w:iCs/>
              <w:shd w:fill="auto" w:val="clear"/>
              <w:lang w:eastAsia="en-US"/>
            </w:rPr>
            <w:t xml:space="preserve">не получивших аттестат, </w:t>
          </w:r>
          <w:r>
            <w:rPr>
              <w:rFonts w:eastAsia="Calibri"/>
              <w:shd w:fill="auto" w:val="clear"/>
              <w:lang w:eastAsia="en-US"/>
            </w:rPr>
            <w:t>среди муниципальных районов отмечена в  Погарском муниципальном районе (с 0% в 2018 году до 0,7%), в Почепском (с 0% в 2018 году до 0,7%), в Комаричском  (с 0% в 2018 году до 4,6%).</w:t>
          </w:r>
          <w:r>
            <w:rPr>
              <w:rFonts w:eastAsia="Calibri"/>
              <w:b/>
              <w:shd w:fill="auto" w:val="clear"/>
              <w:lang w:eastAsia="en-US"/>
            </w:rPr>
            <w:t xml:space="preserve"> </w:t>
          </w:r>
        </w:p>
        <w:p>
          <w:pPr>
            <w:pStyle w:val="Normal"/>
            <w:ind w:firstLine="709"/>
            <w:jc w:val="both"/>
            <w:rPr>
              <w:shd w:fill="auto" w:val="clear"/>
            </w:rPr>
          </w:pPr>
          <w:r>
            <w:rPr>
              <w:rFonts w:eastAsia="Calibri"/>
              <w:shd w:fill="auto" w:val="clear"/>
              <w:lang w:eastAsia="en-US"/>
            </w:rPr>
            <w:t>На ухудшение значений показателей повлияли низкая мотивация обучающихся к получению знаний и низкий контроль со стороны педагогов и родителей.</w:t>
          </w:r>
        </w:p>
        <w:p>
          <w:pPr>
            <w:pStyle w:val="Normal"/>
            <w:tabs>
              <w:tab w:val="clear" w:pos="708"/>
              <w:tab w:val="left" w:pos="709" w:leader="none"/>
            </w:tabs>
            <w:ind w:firstLine="709"/>
            <w:jc w:val="both"/>
            <w:rPr>
              <w:b/>
              <w:b/>
              <w:bCs/>
              <w:iCs/>
              <w:shd w:fill="FFFF00" w:val="clear"/>
            </w:rPr>
          </w:pPr>
          <w:r>
            <w:rPr>
              <w:b/>
              <w:bCs/>
              <w:iCs/>
              <w:shd w:fill="FFFF00" w:val="clear"/>
            </w:rPr>
          </w:r>
        </w:p>
        <w:p>
          <w:pPr>
            <w:pStyle w:val="21"/>
            <w:spacing w:lineRule="auto" w:line="240" w:before="0" w:after="0"/>
            <w:ind w:left="0" w:firstLine="709"/>
            <w:jc w:val="both"/>
            <w:rPr>
              <w:shd w:fill="auto" w:val="clear"/>
            </w:rPr>
          </w:pPr>
          <w:r>
            <w:rPr>
              <w:b/>
              <w:shd w:fill="auto" w:val="clear"/>
            </w:rPr>
            <w:t>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pPr>
            <w:pStyle w:val="Normal"/>
            <w:tabs>
              <w:tab w:val="left" w:pos="708" w:leader="none"/>
              <w:tab w:val="center" w:pos="4153" w:leader="none"/>
              <w:tab w:val="right" w:pos="8306" w:leader="none"/>
            </w:tabs>
            <w:ind w:firstLine="709"/>
            <w:jc w:val="both"/>
            <w:rPr>
              <w:shd w:fill="auto" w:val="clear"/>
            </w:rPr>
          </w:pPr>
          <w:r>
            <w:rPr>
              <w:rFonts w:eastAsia="Calibri"/>
              <w:shd w:fill="auto" w:val="clear"/>
              <w:lang w:eastAsia="en-US"/>
            </w:rPr>
            <w:t xml:space="preserve">Данный показатель является интегральным, включающим несколько направлений организации образовательного процесса: обеспечение современных условий комплексной безопасности учреждений, оснащенность современным учебным и учебно-лабораторным оборудованием и компьютерной техникой, создание здоровьесберегающей среды (питание, условия для занятий физической культурой и спортом, медицинское обслуживание), условий для творческого развития школьников. </w:t>
          </w:r>
        </w:p>
        <w:p>
          <w:pPr>
            <w:pStyle w:val="Normal"/>
            <w:tabs>
              <w:tab w:val="left" w:pos="708" w:leader="none"/>
              <w:tab w:val="center" w:pos="4153" w:leader="none"/>
              <w:tab w:val="right" w:pos="8306" w:leader="none"/>
            </w:tabs>
            <w:ind w:firstLine="709"/>
            <w:jc w:val="both"/>
            <w:rPr>
              <w:shd w:fill="auto" w:val="clear"/>
            </w:rPr>
          </w:pPr>
          <w:r>
            <w:rPr>
              <w:rFonts w:eastAsia="Calibri"/>
              <w:shd w:fill="auto" w:val="clear"/>
              <w:lang w:eastAsia="en-US"/>
            </w:rPr>
            <w:t>В среднем по области в 2019 году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увеличилась на 1,3 п.п. составила 91,24%.</w:t>
          </w:r>
        </w:p>
        <w:p>
          <w:pPr>
            <w:pStyle w:val="Normal"/>
            <w:tabs>
              <w:tab w:val="left" w:pos="708" w:leader="none"/>
              <w:tab w:val="center" w:pos="4153" w:leader="none"/>
              <w:tab w:val="right" w:pos="8306" w:leader="none"/>
            </w:tabs>
            <w:ind w:firstLine="709"/>
            <w:jc w:val="both"/>
            <w:rPr>
              <w:shd w:fill="auto" w:val="clear"/>
            </w:rPr>
          </w:pPr>
          <w:r>
            <w:rPr>
              <w:rFonts w:eastAsia="Calibri"/>
              <w:shd w:fill="auto" w:val="clear"/>
              <w:lang w:eastAsia="en-US"/>
            </w:rPr>
            <w:t xml:space="preserve">В 11 муниципальных районах значение данного показателя составляет 100%:  Выгоничском, Жуковском, Злынковском, Климовском, Комаричском, Мглинском, Почепском, Суземском , Суражском и Унечском районах. </w:t>
          </w:r>
        </w:p>
        <w:p>
          <w:pPr>
            <w:pStyle w:val="Normal"/>
            <w:tabs>
              <w:tab w:val="left" w:pos="708" w:leader="none"/>
              <w:tab w:val="center" w:pos="4153" w:leader="none"/>
              <w:tab w:val="right" w:pos="8306" w:leader="none"/>
            </w:tabs>
            <w:ind w:firstLine="709"/>
            <w:jc w:val="both"/>
            <w:rPr>
              <w:shd w:fill="auto" w:val="clear"/>
            </w:rPr>
          </w:pPr>
          <w:r>
            <w:rPr>
              <w:rFonts w:eastAsia="Calibri"/>
              <w:shd w:fill="auto" w:val="clear"/>
              <w:lang w:eastAsia="en-US"/>
            </w:rPr>
            <w:t xml:space="preserve">В всех городских округах, а также в 20 муниципальных районах значение данного показателя осталось на уровне 2017 года. </w:t>
          </w:r>
        </w:p>
        <w:p>
          <w:pPr>
            <w:pStyle w:val="Normal"/>
            <w:tabs>
              <w:tab w:val="left" w:pos="708" w:leader="none"/>
              <w:tab w:val="center" w:pos="4153" w:leader="none"/>
              <w:tab w:val="right" w:pos="8306" w:leader="none"/>
            </w:tabs>
            <w:ind w:firstLine="709"/>
            <w:jc w:val="both"/>
            <w:rPr>
              <w:shd w:fill="auto" w:val="clear"/>
            </w:rPr>
          </w:pPr>
          <w:r>
            <w:rPr>
              <w:rFonts w:eastAsia="Calibri"/>
              <w:shd w:fill="auto" w:val="clear"/>
              <w:lang w:eastAsia="en-US"/>
            </w:rPr>
            <w:t>По сравнению с 2018 годом существенный рост показателя отмечается в Злынковском муниципальном районе (с 89 % до 100%).</w:t>
          </w:r>
        </w:p>
        <w:p>
          <w:pPr>
            <w:pStyle w:val="Normal"/>
            <w:tabs>
              <w:tab w:val="left" w:pos="708" w:leader="none"/>
              <w:tab w:val="center" w:pos="4153" w:leader="none"/>
              <w:tab w:val="right" w:pos="8306" w:leader="none"/>
            </w:tabs>
            <w:ind w:firstLine="709"/>
            <w:jc w:val="both"/>
            <w:rPr>
              <w:rFonts w:eastAsia="Calibri"/>
              <w:shd w:fill="FFFF00" w:val="clear"/>
              <w:lang w:eastAsia="en-US"/>
            </w:rPr>
          </w:pPr>
          <w:r>
            <w:rPr>
              <w:rFonts w:eastAsia="Calibri"/>
              <w:shd w:fill="FFFF00" w:val="clear"/>
              <w:lang w:eastAsia="en-US"/>
            </w:rPr>
          </w:r>
        </w:p>
        <w:p>
          <w:pPr>
            <w:pStyle w:val="Normal"/>
            <w:ind w:firstLine="709"/>
            <w:jc w:val="both"/>
            <w:rPr>
              <w:shd w:fill="auto" w:val="clear"/>
            </w:rPr>
          </w:pPr>
          <w:r>
            <w:rPr>
              <w:b/>
              <w:shd w:fill="auto" w:val="clear"/>
            </w:rPr>
            <w:t>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pPr>
            <w:pStyle w:val="Normal"/>
            <w:tabs>
              <w:tab w:val="left" w:pos="708" w:leader="none"/>
              <w:tab w:val="center" w:pos="4153" w:leader="none"/>
              <w:tab w:val="right" w:pos="8306" w:leader="none"/>
            </w:tabs>
            <w:ind w:firstLine="709"/>
            <w:jc w:val="both"/>
            <w:rPr>
              <w:shd w:fill="auto" w:val="clear"/>
            </w:rPr>
          </w:pPr>
          <w:r>
            <w:rPr>
              <w:shd w:fill="auto" w:val="clear"/>
            </w:rPr>
            <w:t xml:space="preserve">В 2019 году значение показателя в среднем по области </w:t>
          </w:r>
          <w:r>
            <w:rPr>
              <w:rFonts w:eastAsia="Calibri"/>
              <w:shd w:fill="auto" w:val="clear"/>
              <w:lang w:eastAsia="en-US"/>
            </w:rPr>
            <w:t>составило 5,16%, что ниже, чем в 2018 (5,77%).</w:t>
          </w:r>
        </w:p>
        <w:p>
          <w:pPr>
            <w:pStyle w:val="Normal"/>
            <w:tabs>
              <w:tab w:val="left" w:pos="708" w:leader="none"/>
              <w:tab w:val="center" w:pos="4153" w:leader="none"/>
              <w:tab w:val="right" w:pos="8306" w:leader="none"/>
            </w:tabs>
            <w:ind w:firstLine="709"/>
            <w:jc w:val="both"/>
            <w:rPr>
              <w:shd w:fill="auto" w:val="clear"/>
            </w:rPr>
          </w:pPr>
          <w:r>
            <w:rPr>
              <w:rFonts w:eastAsia="Calibri"/>
              <w:shd w:fill="auto" w:val="clear"/>
              <w:lang w:eastAsia="en-US"/>
            </w:rPr>
            <w:t xml:space="preserve">В 2019 году в связи с высокой степенью износа требовали капитального ремонта здания общеобразовательных школ Жуковского (31,2%), Рогнединского (12,5%) и Дятьковского (15,4%)  муниципальных районов. </w:t>
          </w:r>
        </w:p>
        <w:p>
          <w:pPr>
            <w:pStyle w:val="Normal"/>
            <w:tabs>
              <w:tab w:val="left" w:pos="708" w:leader="none"/>
              <w:tab w:val="center" w:pos="4153" w:leader="none"/>
              <w:tab w:val="right" w:pos="8306" w:leader="none"/>
            </w:tabs>
            <w:ind w:firstLine="709"/>
            <w:jc w:val="both"/>
            <w:rPr>
              <w:shd w:fill="FFFF00" w:val="clear"/>
            </w:rPr>
          </w:pPr>
          <w:r>
            <w:rPr>
              <w:shd w:fill="FFFF00" w:val="clear"/>
            </w:rPr>
          </w:r>
        </w:p>
        <w:p>
          <w:pPr>
            <w:pStyle w:val="Normal"/>
            <w:ind w:firstLine="709"/>
            <w:jc w:val="both"/>
            <w:rPr>
              <w:shd w:fill="auto" w:val="clear"/>
            </w:rPr>
          </w:pPr>
          <w:r>
            <w:rPr>
              <w:b/>
              <w:shd w:fill="auto" w:val="clear"/>
            </w:rPr>
            <w:t>16. Доля детей первой и второй групп здоровья в общей численности обучающихся в муниципальных общеобразовательных учреждениях (процентов)</w:t>
          </w:r>
        </w:p>
        <w:p>
          <w:pPr>
            <w:pStyle w:val="Normal"/>
            <w:ind w:firstLine="720"/>
            <w:jc w:val="both"/>
            <w:rPr>
              <w:shd w:fill="auto" w:val="clear"/>
            </w:rPr>
          </w:pPr>
          <w:r>
            <w:rPr>
              <w:shd w:fill="auto" w:val="clear"/>
            </w:rPr>
          </w:r>
        </w:p>
        <w:p>
          <w:pPr>
            <w:pStyle w:val="Normal"/>
            <w:ind w:firstLine="720"/>
            <w:jc w:val="both"/>
            <w:rPr>
              <w:shd w:fill="auto" w:val="clear"/>
            </w:rPr>
          </w:pPr>
          <w:r>
            <w:rPr>
              <w:shd w:fill="auto" w:val="clear"/>
            </w:rPr>
            <w:t xml:space="preserve"> </w:t>
          </w:r>
          <w:r>
            <w:rPr>
              <w:rFonts w:cs="Times New Roman"/>
              <w:sz w:val="28"/>
              <w:szCs w:val="28"/>
              <w:shd w:fill="auto" w:val="clear"/>
            </w:rPr>
            <w:t>В 2019 году доля детей первой и второй групп здоровья в общей численности обучающихся в муниципальных общеобразовательных учреждениях в целом по области увеличилась по отношению к 2018 году на 1,11 п.п. и составила 85,12%.</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Наибольший рост показателя зафиксирован в Дубровском (на 13,1 п.п.), Погарском (на 10,2 п.п.), Навлинском (на 7,8 п.п.) районах.</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 xml:space="preserve">Наибольшее снижение показателя отмечено в Жуковском (на 13,2 п.п.), Почепском (на 7,9 п.п.)  и Красногорском (на 6,3 п.п.) районах. </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 xml:space="preserve">Максимальное значение показателя достигнуто: в городских округах – г. Фокино (95,1%), г. Клинцы (91,2%); в муниципальных районах - Севский (95,4%), Гордеевский (93,7%). </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shd w:fill="auto" w:val="clear"/>
            </w:rPr>
            <w:t>Минимальное значение показателя: в городских округах – г. Новозыбков (67,7%); муниципальных районах - Почепский (78%), Климовский (78,1%).</w:t>
          </w:r>
        </w:p>
        <w:p>
          <w:pPr>
            <w:pStyle w:val="Normal"/>
            <w:ind w:firstLine="720"/>
            <w:jc w:val="both"/>
            <w:rPr>
              <w:shd w:fill="auto" w:val="clear"/>
            </w:rPr>
          </w:pPr>
          <w:r>
            <w:rPr>
              <w:shd w:fill="auto" w:val="clear"/>
            </w:rPr>
            <w:t xml:space="preserve">Одной из причин снижения показателя, как и в 2019 году, является увеличение количества детей из числа поступивших в школу, имеющих не 1 и 2 группы здоровья. </w:t>
          </w:r>
        </w:p>
        <w:p>
          <w:pPr>
            <w:pStyle w:val="Normal"/>
            <w:ind w:firstLine="709"/>
            <w:jc w:val="both"/>
            <w:rPr>
              <w:rFonts w:eastAsia="Calibri"/>
              <w:lang w:eastAsia="en-US"/>
            </w:rPr>
          </w:pPr>
          <w:r>
            <w:rPr>
              <w:rFonts w:eastAsia="Calibri"/>
              <w:lang w:eastAsia="en-US"/>
            </w:rPr>
          </w:r>
        </w:p>
        <w:p>
          <w:pPr>
            <w:pStyle w:val="Normal"/>
            <w:ind w:firstLine="709"/>
            <w:jc w:val="both"/>
            <w:rPr>
              <w:shd w:fill="auto" w:val="clear"/>
            </w:rPr>
          </w:pPr>
          <w:r>
            <w:rPr>
              <w:b/>
              <w:shd w:fill="auto" w:val="clear"/>
            </w:rPr>
            <w:t>18.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pPr>
            <w:pStyle w:val="Normal"/>
            <w:spacing w:before="0" w:after="0"/>
            <w:ind w:firstLine="709"/>
            <w:contextualSpacing/>
            <w:jc w:val="both"/>
            <w:rPr>
              <w:shd w:fill="auto" w:val="clear"/>
            </w:rPr>
          </w:pPr>
          <w:r>
            <w:rPr>
              <w:shd w:fill="auto" w:val="clear"/>
            </w:rPr>
            <w:t xml:space="preserve">В среднем по области значение показателя в 2019 году составили 72,18 тысяч рублей (2018 год – 72,71 тысяч рублей). </w:t>
          </w:r>
        </w:p>
        <w:p>
          <w:pPr>
            <w:pStyle w:val="Normal"/>
            <w:ind w:firstLine="709"/>
            <w:jc w:val="both"/>
            <w:rPr>
              <w:shd w:fill="auto" w:val="clear"/>
            </w:rPr>
          </w:pPr>
          <w:r>
            <w:rPr>
              <w:rFonts w:eastAsia="Calibri"/>
              <w:shd w:fill="auto" w:val="clear"/>
              <w:lang w:eastAsia="en-US"/>
            </w:rPr>
            <w:t xml:space="preserve">В среднем по городским округам расходы на 1 обучающегося в 2019 году составили 48,08 тысяч рублей (2018 год – 43,74 </w:t>
          </w:r>
          <w:r>
            <w:rPr>
              <w:shd w:fill="auto" w:val="clear"/>
            </w:rPr>
            <w:t>тысяч рублей)</w:t>
          </w:r>
          <w:r>
            <w:rPr>
              <w:rFonts w:eastAsia="Calibri"/>
              <w:shd w:fill="auto" w:val="clear"/>
              <w:lang w:eastAsia="en-US"/>
            </w:rPr>
            <w:t xml:space="preserve">. В муниципальных районах расходы на 1 обучающегося значительно выше, чем в городских округах, что связано с наличием малокомплектных сельских школ с низким количеством обучающихся. </w:t>
          </w:r>
        </w:p>
        <w:p>
          <w:pPr>
            <w:pStyle w:val="Normal"/>
            <w:ind w:firstLine="709"/>
            <w:jc w:val="both"/>
            <w:rPr>
              <w:shd w:fill="auto" w:val="clear"/>
            </w:rPr>
          </w:pPr>
          <w:r>
            <w:rPr>
              <w:rFonts w:eastAsia="Calibri"/>
              <w:shd w:fill="auto" w:val="clear"/>
              <w:lang w:eastAsia="en-US"/>
            </w:rPr>
            <w:t>Высокие значения показателя в</w:t>
          </w:r>
          <w:r>
            <w:rPr>
              <w:rFonts w:eastAsia="Calibri"/>
              <w:b/>
              <w:shd w:fill="auto" w:val="clear"/>
              <w:lang w:eastAsia="en-US"/>
            </w:rPr>
            <w:t xml:space="preserve"> </w:t>
          </w:r>
          <w:r>
            <w:rPr>
              <w:rFonts w:eastAsia="Calibri"/>
              <w:b w:val="false"/>
              <w:bCs w:val="false"/>
              <w:shd w:fill="auto" w:val="clear"/>
              <w:lang w:eastAsia="en-US"/>
            </w:rPr>
            <w:t>Жирятинском</w:t>
          </w:r>
          <w:r>
            <w:rPr>
              <w:rFonts w:eastAsia="Calibri"/>
              <w:shd w:fill="auto" w:val="clear"/>
              <w:lang w:eastAsia="en-US"/>
            </w:rPr>
            <w:t xml:space="preserve"> (129,1 тысяч рублей) и Красногорском (113,9 тысяч рублей) муниципальных районах обусловлены включением в состав расходов на общее образование в данных муниципалитетах расходов на подразделения (группы) дошкольного образования, организованные в общеобразовательных учреждениях.</w:t>
          </w:r>
        </w:p>
        <w:p>
          <w:pPr>
            <w:pStyle w:val="Normal"/>
            <w:rPr>
              <w:shd w:fill="auto" w:val="clear"/>
            </w:rPr>
          </w:pPr>
          <w:r>
            <w:rPr>
              <w:shd w:fill="auto" w:val="clear"/>
            </w:rPr>
          </w:r>
        </w:p>
        <w:p>
          <w:pPr>
            <w:pStyle w:val="Normal"/>
            <w:shd w:val="clear" w:color="auto" w:fill="FFFFFF"/>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«Общее и дополнительное образование»</w:t>
          </w:r>
        </w:p>
        <w:p>
          <w:pPr>
            <w:pStyle w:val="Normal"/>
            <w:shd w:val="clear" w:color="auto" w:fill="FFFFFF"/>
            <w:ind w:firstLine="709"/>
            <w:jc w:val="both"/>
            <w:rPr>
              <w:shd w:fill="auto" w:val="clear"/>
            </w:rPr>
          </w:pPr>
          <w:r>
            <w:rPr>
              <w:rFonts w:eastAsia="Calibri"/>
              <w:bCs/>
              <w:shd w:fill="auto" w:val="clear"/>
              <w:lang w:eastAsia="en-US"/>
            </w:rPr>
            <w:t xml:space="preserve">1. Создание материально-технических и кадровых условий для введения федерального государственного образовательного стандарта основного общего образования.  </w:t>
          </w:r>
        </w:p>
        <w:p>
          <w:pPr>
            <w:pStyle w:val="Normal"/>
            <w:shd w:val="clear" w:color="auto" w:fill="FFFFFF"/>
            <w:ind w:firstLine="709"/>
            <w:jc w:val="both"/>
            <w:rPr>
              <w:shd w:fill="auto" w:val="clear"/>
            </w:rPr>
          </w:pPr>
          <w:r>
            <w:rPr>
              <w:rFonts w:eastAsia="Calibri"/>
              <w:bCs/>
              <w:shd w:fill="auto" w:val="clear"/>
              <w:lang w:eastAsia="en-US"/>
            </w:rPr>
            <w:t>2. Реализация мероприятий по укреплению кадрового потенциала системы общего образования, привлечение молодых специалистов.</w:t>
          </w:r>
        </w:p>
        <w:p>
          <w:pPr>
            <w:pStyle w:val="Normal"/>
            <w:shd w:val="clear" w:color="auto" w:fill="FFFFFF"/>
            <w:ind w:firstLine="709"/>
            <w:jc w:val="both"/>
            <w:rPr>
              <w:shd w:fill="auto" w:val="clear"/>
            </w:rPr>
          </w:pPr>
          <w:r>
            <w:rPr>
              <w:rFonts w:eastAsia="Calibri"/>
              <w:bCs/>
              <w:shd w:fill="auto" w:val="clear"/>
              <w:lang w:eastAsia="en-US"/>
            </w:rPr>
            <w:t>3. Оптимальное использование имеющихся зданий и помещений общеобразовательных организаций с учетом демографической ситуации</w:t>
          </w:r>
        </w:p>
        <w:p>
          <w:pPr>
            <w:pStyle w:val="Normal"/>
            <w:shd w:val="clear" w:color="auto" w:fill="FFFFFF"/>
            <w:ind w:firstLine="709"/>
            <w:jc w:val="both"/>
            <w:rPr>
              <w:shd w:fill="auto" w:val="clear"/>
            </w:rPr>
          </w:pPr>
          <w:r>
            <w:rPr>
              <w:rFonts w:eastAsia="Calibri"/>
              <w:bCs/>
              <w:shd w:fill="auto" w:val="clear"/>
              <w:lang w:eastAsia="en-US"/>
            </w:rPr>
            <w:t xml:space="preserve">4. Реализация программы по созданию новых мест в общеобразовательных организациях за счет строительства новых школ.  </w:t>
          </w:r>
        </w:p>
        <w:p>
          <w:pPr>
            <w:pStyle w:val="Normal"/>
            <w:shd w:val="clear" w:color="auto" w:fill="FFFFFF"/>
            <w:ind w:firstLine="709"/>
            <w:jc w:val="both"/>
            <w:rPr>
              <w:shd w:fill="auto" w:val="clear"/>
            </w:rPr>
          </w:pPr>
          <w:r>
            <w:rPr>
              <w:rFonts w:eastAsia="Calibri"/>
              <w:bCs/>
              <w:shd w:fill="auto" w:val="clear"/>
              <w:lang w:eastAsia="en-US"/>
            </w:rPr>
            <w:t xml:space="preserve">5. Реализация мероприятий федерального и регионального проектов «Современная школа» и «Успех каждого ребенка» национального проекта «Образование» по укреплению материальной базы общеобразовательных организаций, расположенных в сельской местности </w:t>
          </w:r>
        </w:p>
        <w:p>
          <w:pPr>
            <w:pStyle w:val="Normal"/>
            <w:shd w:val="clear" w:color="auto" w:fill="FFFFFF"/>
            <w:ind w:firstLine="709"/>
            <w:jc w:val="both"/>
            <w:rPr>
              <w:shd w:fill="auto" w:val="clear"/>
            </w:rPr>
          </w:pPr>
          <w:r>
            <w:rPr>
              <w:rFonts w:eastAsia="Calibri"/>
              <w:bCs/>
              <w:shd w:fill="auto" w:val="clear"/>
              <w:lang w:eastAsia="en-US"/>
            </w:rPr>
            <w:t>6. Модернизация материально-технической базы организаций  дополнительного образования для развития направлений технического творчества.</w:t>
          </w:r>
        </w:p>
        <w:p>
          <w:pPr>
            <w:pStyle w:val="Normal"/>
            <w:shd w:val="clear" w:color="auto" w:fill="FFFFFF"/>
            <w:ind w:firstLine="709"/>
            <w:jc w:val="both"/>
            <w:rPr>
              <w:shd w:fill="auto" w:val="clear"/>
            </w:rPr>
          </w:pPr>
          <w:r>
            <w:rPr>
              <w:rFonts w:eastAsia="Calibri"/>
              <w:bCs/>
              <w:shd w:fill="auto" w:val="clear"/>
              <w:lang w:eastAsia="en-US"/>
            </w:rPr>
            <w:t>7. Формирование научного мышления и инжиниринговых компетенций обучающихся.</w:t>
          </w:r>
        </w:p>
        <w:p>
          <w:pPr>
            <w:pStyle w:val="Normal"/>
            <w:shd w:val="clear" w:color="auto" w:fill="FFFFFF"/>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«Общее и дополнительное образование»</w:t>
          </w:r>
        </w:p>
        <w:p>
          <w:pPr>
            <w:pStyle w:val="Normal"/>
            <w:spacing w:lineRule="auto" w:line="276"/>
            <w:ind w:firstLine="709"/>
            <w:jc w:val="both"/>
            <w:rPr>
              <w:shd w:fill="auto" w:val="clear"/>
            </w:rPr>
          </w:pPr>
          <w:r>
            <w:rPr>
              <w:rFonts w:eastAsia="Calibri"/>
              <w:shd w:fill="auto" w:val="clear"/>
              <w:lang w:eastAsia="en-US"/>
            </w:rPr>
            <w:t xml:space="preserve">1. Реализация мероприятий федерального и регионального проектов «Современная школа» и «Успех каждого ребенка» национального проекта «Образование» по укреплению материальной базы образовательных организаций общего и дополнительного образования. </w:t>
          </w:r>
        </w:p>
        <w:p>
          <w:pPr>
            <w:pStyle w:val="Normal"/>
            <w:spacing w:lineRule="auto" w:line="276"/>
            <w:ind w:firstLine="709"/>
            <w:jc w:val="both"/>
            <w:rPr>
              <w:shd w:fill="auto" w:val="clear"/>
            </w:rPr>
          </w:pPr>
          <w:r>
            <w:rPr>
              <w:rFonts w:eastAsia="Calibri"/>
              <w:shd w:fill="auto" w:val="clear"/>
              <w:lang w:eastAsia="en-US"/>
            </w:rPr>
            <w:t>2. Реализация муниципальных программ поддержки молодых специалистов, работа по целевому приему.</w:t>
          </w:r>
        </w:p>
        <w:p>
          <w:pPr>
            <w:pStyle w:val="Normal"/>
            <w:spacing w:lineRule="auto" w:line="276"/>
            <w:ind w:firstLine="709"/>
            <w:jc w:val="both"/>
            <w:rPr>
              <w:shd w:fill="auto" w:val="clear"/>
            </w:rPr>
          </w:pPr>
          <w:r>
            <w:rPr>
              <w:rFonts w:eastAsia="Calibri"/>
              <w:shd w:fill="auto" w:val="clear"/>
              <w:lang w:eastAsia="en-US"/>
            </w:rPr>
            <w:t xml:space="preserve">3. Оптимизация учебных площадей общеобразовательных организаций и перераспределение контингента учащихся с целью создания новых мест. </w:t>
          </w:r>
        </w:p>
        <w:p>
          <w:pPr>
            <w:pStyle w:val="Normal"/>
            <w:spacing w:lineRule="auto" w:line="276"/>
            <w:ind w:firstLine="709"/>
            <w:jc w:val="both"/>
            <w:rPr>
              <w:shd w:fill="auto" w:val="clear"/>
            </w:rPr>
          </w:pPr>
          <w:r>
            <w:rPr>
              <w:rFonts w:eastAsia="Calibri"/>
              <w:shd w:fill="auto" w:val="clear"/>
              <w:lang w:eastAsia="en-US"/>
            </w:rPr>
            <w:t>4. Организация работы по созданию в общеобразовательных организациях креативно оформленного пространства.</w:t>
          </w:r>
        </w:p>
        <w:p>
          <w:pPr>
            <w:pStyle w:val="Normal"/>
            <w:spacing w:lineRule="auto" w:line="276"/>
            <w:ind w:firstLine="709"/>
            <w:jc w:val="both"/>
            <w:rPr>
              <w:shd w:fill="auto" w:val="clear"/>
            </w:rPr>
          </w:pPr>
          <w:r>
            <w:rPr>
              <w:rFonts w:eastAsia="Calibri"/>
              <w:shd w:fill="auto" w:val="clear"/>
              <w:lang w:eastAsia="en-US"/>
            </w:rPr>
            <w:t>5. Модернизация материальной базы организаций дополнительного образования детей для развития направлений естественнонаучного и технического творчества в организациях общего и дополнительного образования детей.</w:t>
          </w:r>
        </w:p>
        <w:p>
          <w:pPr>
            <w:pStyle w:val="Normal"/>
            <w:ind w:firstLine="567"/>
            <w:jc w:val="both"/>
            <w:rPr>
              <w:i/>
              <w:i/>
            </w:rPr>
          </w:pPr>
          <w:r>
            <w:rPr>
              <w:i/>
            </w:rPr>
          </w:r>
        </w:p>
        <w:p>
          <w:pPr>
            <w:pStyle w:val="ListParagraph"/>
            <w:spacing w:lineRule="auto" w:line="240" w:before="0" w:after="120"/>
            <w:ind w:left="709" w:hanging="0"/>
            <w:contextualSpacing/>
            <w:jc w:val="center"/>
            <w:rPr>
              <w:rFonts w:ascii="Times New Roman" w:hAnsi="Times New Roman"/>
              <w:b/>
              <w:b/>
              <w:sz w:val="28"/>
              <w:szCs w:val="28"/>
            </w:rPr>
          </w:pPr>
          <w:r>
            <w:rPr>
              <w:rFonts w:ascii="Times New Roman" w:hAnsi="Times New Roman"/>
              <w:b/>
              <w:sz w:val="28"/>
              <w:szCs w:val="28"/>
            </w:rPr>
            <w:t>КУЛЬТУРА</w:t>
          </w:r>
        </w:p>
        <w:p>
          <w:pPr>
            <w:pStyle w:val="Normal"/>
            <w:spacing w:before="0" w:after="120"/>
            <w:ind w:firstLine="567"/>
            <w:jc w:val="both"/>
            <w:rPr>
              <w:b/>
              <w:b/>
              <w:color w:val="000000"/>
              <w:lang w:bidi="en-US"/>
            </w:rPr>
          </w:pPr>
          <w:r>
            <w:rPr>
              <w:b/>
              <w:color w:val="000000"/>
              <w:lang w:bidi="en-US"/>
            </w:rPr>
            <w:t>20. Уровень фактической обеспеченности учреждениями культуры от нормативной потребности:</w:t>
          </w:r>
        </w:p>
        <w:p>
          <w:pPr>
            <w:pStyle w:val="Normal"/>
            <w:rPr>
              <w:b/>
              <w:b/>
              <w:color w:val="000000"/>
              <w:lang w:bidi="en-US"/>
            </w:rPr>
          </w:pPr>
          <w:r>
            <w:rPr>
              <w:b/>
              <w:color w:val="000000"/>
              <w:lang w:bidi="en-US"/>
            </w:rPr>
            <w:t>клубами и учреждениями клубного типа (процентов)</w:t>
          </w:r>
        </w:p>
        <w:p>
          <w:pPr>
            <w:pStyle w:val="Normal"/>
            <w:suppressAutoHyphens w:val="true"/>
            <w:ind w:firstLine="709"/>
            <w:jc w:val="both"/>
            <w:rPr>
              <w:rFonts w:eastAsia="Calibri" w:cs="Calibri"/>
              <w:color w:val="000000"/>
              <w:lang w:eastAsia="en-US" w:bidi="en-US"/>
            </w:rPr>
          </w:pPr>
          <w:r>
            <w:rPr>
              <w:rFonts w:eastAsia="Calibri" w:cs="Calibri"/>
              <w:color w:val="000000"/>
              <w:lang w:eastAsia="en-US" w:bidi="en-US"/>
            </w:rPr>
          </w:r>
        </w:p>
        <w:p>
          <w:pPr>
            <w:pStyle w:val="Normal"/>
            <w:suppressAutoHyphens w:val="true"/>
            <w:ind w:firstLine="709"/>
            <w:jc w:val="both"/>
            <w:rPr>
              <w:rFonts w:eastAsia="Calibri" w:cs="Calibri"/>
              <w:color w:val="000000"/>
              <w:lang w:eastAsia="ar-SA"/>
            </w:rPr>
          </w:pPr>
          <w:r>
            <w:rPr>
              <w:rFonts w:eastAsia="Calibri" w:cs="Calibri"/>
              <w:color w:val="000000"/>
              <w:lang w:eastAsia="ar-SA"/>
            </w:rPr>
            <w:t xml:space="preserve"> </w:t>
          </w:r>
          <w:r>
            <w:rPr>
              <w:rFonts w:eastAsia="Calibri" w:cs="Calibri"/>
              <w:color w:val="000000"/>
              <w:lang w:eastAsia="ar-SA"/>
            </w:rPr>
            <w:t xml:space="preserve">По данному показателю все городские округа Брянской области имеют 100%. </w:t>
          </w:r>
        </w:p>
        <w:p>
          <w:pPr>
            <w:pStyle w:val="Normal"/>
            <w:suppressAutoHyphens w:val="true"/>
            <w:ind w:firstLine="709"/>
            <w:jc w:val="both"/>
            <w:rPr>
              <w:rFonts w:eastAsia="Calibri" w:cs="Calibri"/>
              <w:color w:val="000000"/>
              <w:lang w:eastAsia="ar-SA"/>
            </w:rPr>
          </w:pPr>
          <w:r>
            <w:rPr>
              <w:rFonts w:eastAsia="Calibri" w:cs="Calibri"/>
              <w:color w:val="000000"/>
              <w:lang w:eastAsia="ar-SA"/>
            </w:rPr>
            <w:t>В группе муниципальных районов показатель также составляет 100%. За исключением Брянского муниципального района (99%), Дятьковского (86%), Карачевского (88%).</w:t>
          </w:r>
        </w:p>
        <w:p>
          <w:pPr>
            <w:pStyle w:val="Normal"/>
            <w:suppressAutoHyphens w:val="true"/>
            <w:ind w:firstLine="709"/>
            <w:jc w:val="both"/>
            <w:rPr>
              <w:rFonts w:eastAsia="Calibri" w:cs="Calibri"/>
              <w:color w:val="000000"/>
              <w:lang w:eastAsia="ar-SA"/>
            </w:rPr>
          </w:pPr>
          <w:r>
            <w:rPr>
              <w:rFonts w:eastAsia="Calibri" w:cs="Calibri"/>
              <w:color w:val="000000"/>
              <w:lang w:eastAsia="ar-SA"/>
            </w:rPr>
          </w:r>
        </w:p>
        <w:p>
          <w:pPr>
            <w:pStyle w:val="Normal"/>
            <w:ind w:firstLine="709"/>
            <w:rPr/>
          </w:pPr>
          <w:r>
            <w:rPr>
              <w:b/>
              <w:color w:val="000000"/>
              <w:lang w:eastAsia="en-US" w:bidi="en-US"/>
            </w:rPr>
            <w:t>библиотеками (процентов)</w:t>
          </w:r>
        </w:p>
        <w:p>
          <w:pPr>
            <w:pStyle w:val="Normal"/>
            <w:suppressAutoHyphens w:val="true"/>
            <w:ind w:firstLine="709"/>
            <w:jc w:val="both"/>
            <w:rPr>
              <w:rFonts w:eastAsia="Calibri" w:cs="Calibri"/>
              <w:lang w:eastAsia="ar-SA"/>
            </w:rPr>
          </w:pPr>
          <w:r>
            <w:rPr>
              <w:rFonts w:eastAsia="Calibri" w:cs="Calibri"/>
              <w:lang w:eastAsia="ar-SA"/>
            </w:rPr>
            <w:t xml:space="preserve">Самый высокий показатель среди городских округов в Клинцы (100%) , Сельцо (100%), Фокино (100%), самый низкий в Брянске (50%). </w:t>
          </w:r>
        </w:p>
        <w:p>
          <w:pPr>
            <w:pStyle w:val="Normal"/>
            <w:suppressAutoHyphens w:val="true"/>
            <w:ind w:firstLine="709"/>
            <w:jc w:val="both"/>
            <w:rPr>
              <w:rFonts w:eastAsia="Calibri" w:cs="Calibri"/>
              <w:color w:val="000000"/>
              <w:lang w:eastAsia="ar-SA"/>
            </w:rPr>
          </w:pPr>
          <w:r>
            <w:rPr>
              <w:rFonts w:eastAsia="Calibri" w:cs="Calibri"/>
              <w:color w:val="000000"/>
              <w:lang w:eastAsia="ar-SA"/>
            </w:rPr>
            <w:t>Среди муниципальных районов  лидируют Брасовский, Выгоничсикй, Гордеевский, Дубровский, Жирятинский и Жуковский муниципальные районы – по 100%. Самый низкий показатель в группе наблюдается в Дятьковском муниципальном районе (52%).</w:t>
          </w:r>
        </w:p>
        <w:p>
          <w:pPr>
            <w:pStyle w:val="Normal"/>
            <w:shd w:val="clear" w:color="auto" w:fill="FFFFFF"/>
            <w:suppressAutoHyphens w:val="true"/>
            <w:ind w:firstLine="709"/>
            <w:jc w:val="both"/>
            <w:rPr>
              <w:rFonts w:eastAsia="Calibri"/>
              <w:color w:val="000000"/>
              <w:lang w:eastAsia="ar-SA"/>
            </w:rPr>
          </w:pPr>
          <w:r>
            <w:rPr>
              <w:rFonts w:eastAsia="Calibri"/>
              <w:color w:val="000000"/>
              <w:lang w:eastAsia="ar-SA"/>
            </w:rPr>
          </w:r>
        </w:p>
        <w:p>
          <w:pPr>
            <w:pStyle w:val="Normal"/>
            <w:ind w:firstLine="709"/>
            <w:jc w:val="both"/>
            <w:rPr>
              <w:b/>
              <w:b/>
              <w:color w:val="000000"/>
              <w:lang w:bidi="en-US"/>
            </w:rPr>
          </w:pPr>
          <w:r>
            <w:rPr>
              <w:b/>
              <w:color w:val="000000"/>
              <w:lang w:bidi="en-US"/>
            </w:rPr>
            <w:t>парками культуры и отдыха (процентов)</w:t>
          </w:r>
        </w:p>
        <w:p>
          <w:pPr>
            <w:pStyle w:val="Normal"/>
            <w:widowControl w:val="false"/>
            <w:ind w:firstLine="709"/>
            <w:jc w:val="both"/>
            <w:rPr/>
          </w:pPr>
          <w:r>
            <w:rPr/>
            <w:t>За сетевую единицу принимаются парки культуры и отдыха всех форм собственности, а также городские сады, при условии наличия в них зоны рекреации (окультуренного зеленого массива) и возможности размещения передвижных аттракционов, выделения зоны сервиса (летнее кафе, временные киоски для торговли сувенирной и  иной продукцией).</w:t>
          </w:r>
        </w:p>
        <w:p>
          <w:pPr>
            <w:pStyle w:val="Normal"/>
            <w:widowControl w:val="false"/>
            <w:ind w:firstLine="709"/>
            <w:jc w:val="both"/>
            <w:rPr/>
          </w:pPr>
          <w:r>
            <w:rPr/>
            <w:t>В городских округах обеспеченность парками культуры и отдыха составляет 100% только в Стародубе, в Брянске — 42,9%.</w:t>
          </w:r>
        </w:p>
        <w:p>
          <w:pPr>
            <w:pStyle w:val="Normal"/>
            <w:widowControl w:val="false"/>
            <w:ind w:firstLine="709"/>
            <w:jc w:val="both"/>
            <w:rPr/>
          </w:pPr>
          <w:r>
            <w:rPr/>
            <w:t>Только в Брасовском, Суражском и Унечском муниципальных районах обеспеченность парками культуры и отдыха составляет 100%, в остальных муниципальных районах данный показатель 0%.</w:t>
          </w:r>
        </w:p>
        <w:p>
          <w:pPr>
            <w:pStyle w:val="Normal"/>
            <w:ind w:firstLine="709"/>
            <w:rPr/>
          </w:pPr>
          <w:r>
            <w:rPr/>
          </w:r>
        </w:p>
        <w:p>
          <w:pPr>
            <w:pStyle w:val="Normal"/>
            <w:ind w:firstLine="709"/>
            <w:jc w:val="both"/>
            <w:rPr>
              <w:b/>
              <w:b/>
            </w:rPr>
          </w:pPr>
          <w:r>
            <w:rPr>
              <w:b/>
              <w:color w:val="000000"/>
              <w:lang w:bidi="en-US"/>
            </w:rPr>
            <w:t>21.</w:t>
          </w:r>
          <w:r>
            <w:rPr/>
            <w:t xml:space="preserve"> </w:t>
          </w:r>
          <w:r>
            <w:rPr>
              <w:b/>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pPr>
            <w:pStyle w:val="Style35"/>
            <w:keepNext w:val="false"/>
            <w:widowControl/>
            <w:suppressAutoHyphens w:val="false"/>
            <w:bidi w:val="0"/>
            <w:spacing w:before="0" w:after="0"/>
            <w:ind w:left="0" w:right="0" w:firstLine="850"/>
            <w:jc w:val="both"/>
            <w:rPr>
              <w:sz w:val="28"/>
              <w:szCs w:val="28"/>
            </w:rPr>
          </w:pPr>
          <w:r>
            <w:rPr>
              <w:rFonts w:eastAsia="Calibri"/>
              <w:color w:val="000000"/>
              <w:kern w:val="2"/>
              <w:sz w:val="28"/>
              <w:szCs w:val="28"/>
              <w:lang w:eastAsia="ar-SA"/>
            </w:rPr>
            <w:t xml:space="preserve">В 2019 году продолжалась реализация в Брянской области федерального проекта «Культура малой Родины». </w:t>
          </w:r>
        </w:p>
        <w:p>
          <w:pPr>
            <w:pStyle w:val="Style35"/>
            <w:keepNext w:val="false"/>
            <w:widowControl/>
            <w:suppressAutoHyphens w:val="false"/>
            <w:bidi w:val="0"/>
            <w:spacing w:before="0" w:after="0"/>
            <w:ind w:left="0" w:right="0" w:firstLine="850"/>
            <w:jc w:val="both"/>
            <w:rPr>
              <w:sz w:val="28"/>
              <w:szCs w:val="28"/>
            </w:rPr>
          </w:pPr>
          <w:r>
            <w:rPr>
              <w:sz w:val="28"/>
              <w:szCs w:val="28"/>
            </w:rPr>
            <w:t>Объем субсидии из консолидированного (федерального, областного и местного) бюджета на обеспечение развития и укрепления материально-технической базы муниципальных Домов культуры Брянской области в 2019 году составлял 36,8 млн. рублей, в том числе из федерального бюджета — 31,8 млн. рублей, областного — 2,7млн. рублей (не менее 8% от объема федеральной субсидии), муниципального — 2,2 млн. рублей (не менее 5% от общего объема).</w:t>
          </w:r>
        </w:p>
        <w:p>
          <w:pPr>
            <w:pStyle w:val="Style35"/>
            <w:keepNext w:val="false"/>
            <w:widowControl/>
            <w:suppressAutoHyphens w:val="false"/>
            <w:bidi w:val="0"/>
            <w:spacing w:before="0" w:after="0"/>
            <w:ind w:left="0" w:right="0" w:firstLine="850"/>
            <w:jc w:val="both"/>
            <w:rPr>
              <w:sz w:val="28"/>
              <w:szCs w:val="28"/>
            </w:rPr>
          </w:pPr>
          <w:r>
            <w:rPr>
              <w:sz w:val="28"/>
              <w:szCs w:val="28"/>
            </w:rPr>
            <w:t>Всего на конкурсный отбор на 2019 год было подано 53 заявки от 30 муниципальных образований Брянской области на общую сумму 120,3 млн.рублей. 27 заявок были поданы на проведение текущих ремонтов и 28 — на модернизацию материально-технической базы учреждений (приобретение оборудования, мебели, музыкальных инструментов).</w:t>
          </w:r>
        </w:p>
        <w:p>
          <w:pPr>
            <w:pStyle w:val="Style35"/>
            <w:keepNext w:val="false"/>
            <w:widowControl/>
            <w:suppressAutoHyphens w:val="false"/>
            <w:bidi w:val="0"/>
            <w:spacing w:before="0" w:after="0"/>
            <w:ind w:left="0" w:right="0" w:firstLine="850"/>
            <w:jc w:val="both"/>
            <w:rPr>
              <w:sz w:val="28"/>
              <w:szCs w:val="28"/>
            </w:rPr>
          </w:pPr>
          <w:r>
            <w:rPr>
              <w:sz w:val="28"/>
              <w:szCs w:val="28"/>
            </w:rPr>
            <w:t>По итогам конкурсного отбора и общественных слушаний, организованных региональным отделением Всероссийской политической партии «Единая Россия», в соответствии с требованиями, утвержденными Постановлением Правительства Российской Федерации «О внесении изменений в государственную программу Российской Федерации «Развитие культуры и туризма на 2013–2020 годы» от 30 января 2017 года, победителями конкурсного отбора признаны 33 муниципальных учреждения культуры Брянской области для предоставления субсидии в 2019 году на обеспечение развития и укрепления материально-технической базы. Из них на проведение текущих ремонтов зданий — 21 учреждение и модернизацию материально-технической базы — 12 учреждений.</w:t>
          </w:r>
        </w:p>
        <w:p>
          <w:pPr>
            <w:pStyle w:val="Style35"/>
            <w:widowControl/>
            <w:suppressAutoHyphens w:val="false"/>
            <w:bidi w:val="0"/>
            <w:spacing w:before="0" w:after="0"/>
            <w:ind w:left="0" w:right="0" w:firstLine="850"/>
            <w:jc w:val="both"/>
            <w:rPr/>
          </w:pPr>
          <w:r>
            <w:rPr>
              <w:sz w:val="28"/>
              <w:szCs w:val="28"/>
            </w:rPr>
            <w:t xml:space="preserve">В 2019 году проведены ремонтные работы в Гордеевском, Жуковском, Клетнянском, Климовском, Карачевском, Красногорском, Мглинском, Почепском, Рогнединском, Стародубском, Севском и Трубчевском районах. Оборудование поставлено в Суземском, Жуковском, Выгоничском и Навлинском районах, а также в городе Фокино. </w:t>
          </w:r>
        </w:p>
        <w:p>
          <w:pPr>
            <w:pStyle w:val="Style35"/>
            <w:widowControl/>
            <w:suppressAutoHyphens w:val="false"/>
            <w:bidi w:val="0"/>
            <w:spacing w:before="0" w:after="0"/>
            <w:ind w:left="0" w:right="0" w:firstLine="850"/>
            <w:jc w:val="both"/>
            <w:rPr>
              <w:sz w:val="28"/>
              <w:szCs w:val="28"/>
            </w:rPr>
          </w:pPr>
          <w:r>
            <w:rPr>
              <w:sz w:val="28"/>
              <w:szCs w:val="28"/>
            </w:rPr>
            <w:t>Всего затри года реализации проекта в его рамках отремонтировано и оснащено в Брянской области 80 Домов культуры на общую сумму более 105 млн. рублей (текущий ремонт 62 Домов культуры — около 93 млн. рублей, закупка оборудования для 18 Домов культуры — более 12 млн.рублей).</w:t>
          </w:r>
        </w:p>
        <w:p>
          <w:pPr>
            <w:pStyle w:val="Normal"/>
            <w:suppressAutoHyphens w:val="true"/>
            <w:ind w:firstLine="709"/>
            <w:jc w:val="both"/>
            <w:rPr>
              <w:rFonts w:cs="Calibri"/>
              <w:color w:val="000000"/>
              <w:lang w:eastAsia="ar-SA"/>
            </w:rPr>
          </w:pPr>
          <w:r>
            <w:rPr>
              <w:rFonts w:cs="Calibri"/>
              <w:color w:val="000000"/>
              <w:lang w:eastAsia="ar-SA"/>
            </w:rPr>
            <w:t>В городских округа Брянск, Клинцы, Стародуб и Фокино процент аварийных зданий составляет 11,9%. Только в городском округе Сельцо процент аварийных зданий составляет 33%.</w:t>
          </w:r>
        </w:p>
        <w:p>
          <w:pPr>
            <w:pStyle w:val="Normal"/>
            <w:suppressAutoHyphens w:val="true"/>
            <w:ind w:firstLine="709"/>
            <w:jc w:val="both"/>
            <w:rPr>
              <w:rFonts w:eastAsia="Calibri" w:cs="Calibri"/>
              <w:color w:val="000000"/>
              <w:lang w:eastAsia="ar-SA"/>
            </w:rPr>
          </w:pPr>
          <w:r>
            <w:rPr>
              <w:rFonts w:cs="Calibri"/>
              <w:color w:val="000000"/>
              <w:lang w:eastAsia="ar-SA"/>
            </w:rPr>
            <w:t xml:space="preserve">В группе </w:t>
          </w:r>
          <w:r>
            <w:rPr>
              <w:rFonts w:eastAsia="Calibri" w:cs="Calibri"/>
              <w:color w:val="000000"/>
              <w:lang w:eastAsia="ar-SA"/>
            </w:rPr>
            <w:t>муниципальных районов здания, требующие капитального ремонта, отсутствуют в Погарском муниципальном районе. Наибольшее количество зданий, требующих капитального ремонта - в Брасовском районе – 29%. Наименьшее количество зданий, требующих капитального ремонта в этой группе районов – в  Жуковском и Суражском муниципальных районах – 2%.</w:t>
          </w:r>
        </w:p>
        <w:p>
          <w:pPr>
            <w:pStyle w:val="Normal"/>
            <w:suppressAutoHyphens w:val="true"/>
            <w:ind w:firstLine="709"/>
            <w:jc w:val="both"/>
            <w:rPr>
              <w:rFonts w:eastAsia="Calibri" w:cs="Calibri"/>
              <w:color w:val="000000"/>
              <w:lang w:eastAsia="ar-SA"/>
            </w:rPr>
          </w:pPr>
          <w:r>
            <w:rPr>
              <w:rFonts w:eastAsia="Calibri" w:cs="Calibri"/>
              <w:color w:val="000000"/>
              <w:lang w:eastAsia="ar-SA"/>
            </w:rPr>
          </w:r>
        </w:p>
        <w:p>
          <w:pPr>
            <w:pStyle w:val="BodyTextIndent2"/>
            <w:spacing w:lineRule="auto" w:line="240" w:before="0" w:after="0"/>
            <w:ind w:left="0" w:firstLine="709"/>
            <w:jc w:val="both"/>
            <w:rPr>
              <w:b/>
              <w:b/>
            </w:rPr>
          </w:pPr>
          <w:r>
            <w:rPr>
              <w:b/>
            </w:rPr>
            <w:t>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pPr>
            <w:pStyle w:val="Normal"/>
            <w:ind w:firstLine="709"/>
            <w:jc w:val="both"/>
            <w:rPr/>
          </w:pPr>
          <w:r>
            <w:rPr/>
            <w:t xml:space="preserve">На территории Брянской области расположено большое количество значимых объектов культурного наследия, многие из которых уникальны. На сегодняшний день в списке памятников истории и культуры Брянской области насчитывается 2 122 объекта культурного наследия (далее - ОКН), из них 81 имеют статус объектов федерального значения, 1 941 – регионального. </w:t>
          </w:r>
        </w:p>
        <w:p>
          <w:pPr>
            <w:pStyle w:val="Normal"/>
            <w:ind w:firstLine="709"/>
            <w:jc w:val="both"/>
            <w:rPr/>
          </w:pPr>
          <w:r>
            <w:rPr/>
            <w:t>Систематизированная информация о состоянии и государственной охране объектов культурного наследия в Брянской области включается в ежегодный государственный доклад о состоянии культуры в Российской Федерации.</w:t>
          </w:r>
        </w:p>
        <w:p>
          <w:pPr>
            <w:pStyle w:val="Normal"/>
            <w:ind w:firstLine="709"/>
            <w:jc w:val="both"/>
            <w:rPr/>
          </w:pPr>
          <w:r>
            <w:rPr/>
            <w:t>Городские округа. В удовлетворительном состоянии (0%) находятся объекты ОКН в городском округе Фокино. В Брянске (30%), Клинцах (12%), Сельцо (12%) объекты ОКН требуют проведения реставрационных работ.</w:t>
          </w:r>
        </w:p>
        <w:p>
          <w:pPr>
            <w:pStyle w:val="Normal"/>
            <w:ind w:firstLine="709"/>
            <w:jc w:val="both"/>
            <w:rPr/>
          </w:pPr>
          <w:r>
            <w:rPr/>
            <w:t>На территории всех муниципальных районов находятся ОКН требующие консервации или реставрации. При этом их процент колеблется от 10% (Трубчевский) до 35 % (Брянский).</w:t>
          </w:r>
        </w:p>
        <w:p>
          <w:pPr>
            <w:pStyle w:val="Normal"/>
            <w:shd w:val="clear" w:color="auto" w:fill="FFFFFF"/>
            <w:jc w:val="center"/>
            <w:rPr/>
          </w:pPr>
          <w:r>
            <w:rPr/>
          </w:r>
        </w:p>
        <w:p>
          <w:pPr>
            <w:pStyle w:val="Normal"/>
            <w:shd w:val="clear" w:color="auto" w:fill="FFFFFF"/>
            <w:jc w:val="center"/>
            <w:rPr>
              <w:u w:val="single"/>
            </w:rPr>
          </w:pPr>
          <w:r>
            <w:rPr>
              <w:u w:val="single"/>
            </w:rPr>
            <w:t>Зоны, требующие приоритетного внимания органов местного самоуправления городских округов и муниципальных районов в сфере «Культура»</w:t>
          </w:r>
        </w:p>
        <w:p>
          <w:pPr>
            <w:pStyle w:val="ConsPlusCell"/>
            <w:widowControl/>
            <w:numPr>
              <w:ilvl w:val="0"/>
              <w:numId w:val="16"/>
            </w:numPr>
            <w:ind w:left="0" w:firstLine="709"/>
            <w:jc w:val="both"/>
            <w:rPr>
              <w:rFonts w:ascii="Times New Roman" w:hAnsi="Times New Roman" w:cs="Times New Roman"/>
              <w:sz w:val="28"/>
              <w:szCs w:val="28"/>
            </w:rPr>
          </w:pPr>
          <w:r>
            <w:rPr>
              <w:rFonts w:cs="Times New Roman" w:ascii="Times New Roman" w:hAnsi="Times New Roman"/>
              <w:sz w:val="28"/>
              <w:szCs w:val="28"/>
            </w:rPr>
            <w:t>Проведение мероприятий по укреплению материально-технической базы учреждений культуры, обеспечению доступа к сети Интернет в соответствии с требованиями социальных нормативов и норм.</w:t>
          </w:r>
        </w:p>
        <w:p>
          <w:pPr>
            <w:pStyle w:val="ConsPlusCell"/>
            <w:widowControl/>
            <w:numPr>
              <w:ilvl w:val="0"/>
              <w:numId w:val="16"/>
            </w:numPr>
            <w:ind w:lef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Проведение мероприятий по переходу на централизованную модель организации управления сферой муниципальной культуры области.</w:t>
          </w:r>
        </w:p>
        <w:p>
          <w:pPr>
            <w:pStyle w:val="Normal"/>
            <w:jc w:val="center"/>
            <w:rPr>
              <w:i/>
              <w:i/>
              <w:u w:val="single"/>
            </w:rPr>
          </w:pPr>
          <w:r>
            <w:rPr>
              <w:i/>
              <w:u w:val="single"/>
            </w:rPr>
          </w:r>
        </w:p>
        <w:p>
          <w:pPr>
            <w:pStyle w:val="Normal"/>
            <w:jc w:val="center"/>
            <w:rPr>
              <w:i/>
              <w:i/>
              <w:u w:val="single"/>
            </w:rPr>
          </w:pPr>
          <w:r>
            <w:rPr>
              <w:i/>
              <w:u w:val="single"/>
            </w:rPr>
          </w:r>
        </w:p>
        <w:p>
          <w:pPr>
            <w:pStyle w:val="Normal"/>
            <w:jc w:val="center"/>
            <w:rPr>
              <w:u w:val="single"/>
            </w:rPr>
          </w:pPr>
          <w:r>
            <w:rPr>
              <w:u w:val="single"/>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«Культура»</w:t>
          </w:r>
        </w:p>
        <w:p>
          <w:pPr>
            <w:pStyle w:val="Normal"/>
            <w:ind w:firstLine="709"/>
            <w:jc w:val="both"/>
            <w:rPr>
              <w:rFonts w:eastAsia="Calibri"/>
              <w:b/>
              <w:b/>
              <w:lang w:eastAsia="ar-SA"/>
            </w:rPr>
          </w:pPr>
          <w:r>
            <w:rPr/>
            <w:t xml:space="preserve">1. </w:t>
          </w:r>
          <w:r>
            <w:rPr>
              <w:rFonts w:eastAsia="Calibri"/>
              <w:lang w:eastAsia="ar-SA"/>
            </w:rPr>
            <w:t>Подготовка  документов на конкурсный отбор на получение федеральных субсидий в рамках реализации мероприятий национального проекта «Культура».</w:t>
          </w:r>
        </w:p>
        <w:p>
          <w:pPr>
            <w:pStyle w:val="Normal"/>
            <w:ind w:firstLine="567"/>
            <w:jc w:val="both"/>
            <w:rPr/>
          </w:pPr>
          <w:r>
            <w:rPr/>
          </w:r>
        </w:p>
        <w:p>
          <w:pPr>
            <w:pStyle w:val="ListParagraph"/>
            <w:spacing w:lineRule="auto" w:line="240" w:before="120" w:after="120"/>
            <w:ind w:left="0" w:firstLine="1134"/>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ListParagraph"/>
            <w:spacing w:lineRule="auto" w:line="240" w:before="120" w:after="120"/>
            <w:ind w:left="0" w:firstLine="709"/>
            <w:contextualSpacing/>
            <w:jc w:val="center"/>
            <w:rPr>
              <w:rFonts w:ascii="Times New Roman" w:hAnsi="Times New Roman"/>
              <w:b/>
              <w:b/>
              <w:sz w:val="28"/>
              <w:szCs w:val="28"/>
            </w:rPr>
          </w:pPr>
          <w:r>
            <w:rPr>
              <w:rFonts w:ascii="Times New Roman" w:hAnsi="Times New Roman"/>
              <w:b/>
              <w:sz w:val="28"/>
              <w:szCs w:val="28"/>
            </w:rPr>
            <w:t>5.ФИЗИЧЕСКАЯ КУЛЬТУРА И СПОРТ</w:t>
          </w:r>
        </w:p>
        <w:p>
          <w:pPr>
            <w:pStyle w:val="Normal"/>
            <w:spacing w:before="0" w:after="120"/>
            <w:ind w:firstLine="567"/>
            <w:rPr>
              <w:b/>
              <w:b/>
            </w:rPr>
          </w:pPr>
          <w:r>
            <w:rPr>
              <w:b/>
            </w:rPr>
            <w:t>23. Доля населения, систематически занимающегося физической культурой и спортом (процентов)</w:t>
          </w:r>
        </w:p>
        <w:p>
          <w:pPr>
            <w:pStyle w:val="Normal"/>
            <w:ind w:firstLine="709"/>
            <w:jc w:val="both"/>
            <w:rPr>
              <w:rFonts w:eastAsia="Calibri"/>
            </w:rPr>
          </w:pPr>
          <w:r>
            <w:rPr>
              <w:rFonts w:eastAsia="Calibri"/>
            </w:rPr>
            <w:t>Показатель в целом по области имеет тенденцию к росту по сравнению с 2017 годом. Увеличение числа систематически занимающихся физической культурой и спортом достигается за счет реализации государственной политики в сфере физической культуры и спорта, которая направлена на увеличение численности населения, систематически занимающегося физической культурой и спортом.</w:t>
          </w:r>
        </w:p>
        <w:p>
          <w:pPr>
            <w:pStyle w:val="Normal"/>
            <w:ind w:firstLine="709"/>
            <w:jc w:val="both"/>
            <w:rPr>
              <w:rFonts w:eastAsia="Calibri"/>
            </w:rPr>
          </w:pPr>
          <w:r>
            <w:rPr>
              <w:rFonts w:eastAsia="Calibri"/>
            </w:rPr>
            <w:t>Традиционно лучшие данные по этому показателю среди городских округов остаются у городского округа Брянск (35%), городского округа Сельцо (26,5%) и городского округа Клинцы (27%). Самый большой рост числа занимающихся по сравнению с 2018 годом показал Новозыбковский городской округ (на 8,7 п.п.).</w:t>
          </w:r>
        </w:p>
        <w:p>
          <w:pPr>
            <w:pStyle w:val="Normal"/>
            <w:ind w:firstLine="709"/>
            <w:jc w:val="both"/>
            <w:rPr>
              <w:rFonts w:eastAsia="Calibri"/>
            </w:rPr>
          </w:pPr>
          <w:r>
            <w:rPr>
              <w:rFonts w:eastAsia="Calibri"/>
            </w:rPr>
            <w:t xml:space="preserve">Все муниципальные районы имеют показатели выше 25%, что во многом определяет показатели Брянской области. Лучшее значение показателя в Жуковском муниципальном районе - 36%. По сравнению с 2018 годом значительно повысили данный показатель Клинцовский муниципальный район (на 8 п.п.), Выгоничский муниципальный район (на 7,9 п.п.) и Жуковский муниципальный район (на 9 п.п.). </w:t>
          </w:r>
        </w:p>
        <w:p>
          <w:pPr>
            <w:pStyle w:val="Normal"/>
            <w:ind w:firstLine="709"/>
            <w:jc w:val="both"/>
            <w:rPr>
              <w:rFonts w:eastAsia="Calibri"/>
            </w:rPr>
          </w:pPr>
          <w:r>
            <w:rPr>
              <w:rFonts w:eastAsia="Calibri"/>
            </w:rPr>
          </w:r>
        </w:p>
        <w:p>
          <w:pPr>
            <w:pStyle w:val="Normal"/>
            <w:shd w:val="clear" w:color="auto" w:fill="FFFFFF"/>
            <w:ind w:firstLine="567"/>
            <w:jc w:val="both"/>
            <w:rPr>
              <w:b/>
              <w:b/>
            </w:rPr>
          </w:pPr>
          <w:r>
            <w:rPr>
              <w:b/>
            </w:rPr>
            <w:t>23.1</w:t>
          </w:r>
          <w:r>
            <w:rPr/>
            <w:t xml:space="preserve"> </w:t>
          </w:r>
          <w:r>
            <w:rPr>
              <w:b/>
            </w:rPr>
            <w:t>Доля обучающихся, систематически занимающихся физической культурой и спортом, в общей численности обучающихся (процентов)</w:t>
          </w:r>
        </w:p>
        <w:p>
          <w:pPr>
            <w:pStyle w:val="Normal"/>
            <w:ind w:firstLine="567"/>
            <w:jc w:val="both"/>
            <w:rPr/>
          </w:pPr>
          <w:r>
            <w:rPr/>
            <w:t xml:space="preserve">В целом по Брянской области показатель на низком уровне - во многих муниципальных районах менее 10%. </w:t>
          </w:r>
        </w:p>
        <w:p>
          <w:pPr>
            <w:pStyle w:val="Normal"/>
            <w:ind w:firstLine="567"/>
            <w:jc w:val="both"/>
            <w:rPr/>
          </w:pPr>
          <w:r>
            <w:rPr/>
            <w:t xml:space="preserve">В группе городских округов результат свыше 25% в городских округах Клинцы (28,2%) и Сельцо (29,4%). </w:t>
          </w:r>
        </w:p>
        <w:p>
          <w:pPr>
            <w:pStyle w:val="Normal"/>
            <w:ind w:firstLine="567"/>
            <w:jc w:val="both"/>
            <w:rPr/>
          </w:pPr>
          <w:r>
            <w:rPr/>
            <w:t xml:space="preserve">В группе муниципальных районов  лучший результат у Суземского (27,6%) и   Карачевского (21,6%) муниципальных районов. </w:t>
          </w:r>
        </w:p>
        <w:p>
          <w:pPr>
            <w:pStyle w:val="Normal"/>
            <w:ind w:firstLine="567"/>
            <w:jc w:val="both"/>
            <w:rPr/>
          </w:pPr>
          <w:r>
            <w:rPr/>
          </w:r>
        </w:p>
        <w:p>
          <w:pPr>
            <w:pStyle w:val="Normal"/>
            <w:ind w:firstLine="567"/>
            <w:jc w:val="both"/>
            <w:rPr/>
          </w:pPr>
          <w:r>
            <w:rPr/>
          </w:r>
        </w:p>
        <w:p>
          <w:pPr>
            <w:pStyle w:val="Normal"/>
            <w:shd w:val="clear" w:color="auto" w:fill="FFFFFF"/>
            <w:jc w:val="center"/>
            <w:rPr/>
          </w:pPr>
          <w:r>
            <w:rPr/>
          </w:r>
        </w:p>
        <w:p>
          <w:pPr>
            <w:pStyle w:val="Normal"/>
            <w:shd w:val="clear" w:color="auto" w:fill="FFFFFF"/>
            <w:jc w:val="center"/>
            <w:rPr>
              <w:u w:val="single"/>
            </w:rPr>
          </w:pPr>
          <w:r>
            <w:rPr>
              <w:u w:val="single"/>
            </w:rPr>
            <w:t>Зоны, требующие приоритетного внимания органов местного самоуправления городских округов и муниципальных районов в сфере «Физическая культура и спорт»</w:t>
          </w:r>
        </w:p>
        <w:p>
          <w:pPr>
            <w:pStyle w:val="ListParagraph"/>
            <w:numPr>
              <w:ilvl w:val="0"/>
              <w:numId w:val="7"/>
            </w:numPr>
            <w:spacing w:lineRule="auto" w:line="240" w:before="0" w:after="0"/>
            <w:ind w:left="0" w:firstLine="568"/>
            <w:contextualSpacing/>
            <w:jc w:val="both"/>
            <w:rPr>
              <w:rFonts w:ascii="Times New Roman" w:hAnsi="Times New Roman"/>
              <w:sz w:val="28"/>
              <w:szCs w:val="28"/>
            </w:rPr>
          </w:pPr>
          <w:r>
            <w:rPr>
              <w:rFonts w:ascii="Times New Roman" w:hAnsi="Times New Roman"/>
              <w:sz w:val="28"/>
              <w:szCs w:val="28"/>
            </w:rPr>
            <w:t>Привлечение инвесторов для осуществления строительства спортивных объектов в рамках государственного - частного партнерства.</w:t>
          </w:r>
        </w:p>
        <w:p>
          <w:pPr>
            <w:pStyle w:val="Normal"/>
            <w:numPr>
              <w:ilvl w:val="0"/>
              <w:numId w:val="7"/>
            </w:numPr>
            <w:ind w:left="0" w:firstLine="568"/>
            <w:jc w:val="both"/>
            <w:rPr/>
          </w:pPr>
          <w:r>
            <w:rPr/>
            <w:t>Увеличение финансирования муниципальных программ «Развитие физической культуры и спорта».</w:t>
          </w:r>
        </w:p>
        <w:p>
          <w:pPr>
            <w:pStyle w:val="Normal"/>
            <w:numPr>
              <w:ilvl w:val="0"/>
              <w:numId w:val="7"/>
            </w:numPr>
            <w:ind w:left="0" w:firstLine="568"/>
            <w:jc w:val="both"/>
            <w:rPr/>
          </w:pPr>
          <w:r>
            <w:rPr/>
            <w:t>Принятие мер по проведению на своей территории Всероссийских массовых спортивных мероприятий.</w:t>
          </w:r>
        </w:p>
        <w:p>
          <w:pPr>
            <w:pStyle w:val="Normal"/>
            <w:ind w:left="709" w:hanging="0"/>
            <w:rPr>
              <w:i/>
              <w:i/>
            </w:rPr>
          </w:pPr>
          <w:r>
            <w:rPr>
              <w:i/>
            </w:rPr>
          </w:r>
        </w:p>
        <w:p>
          <w:pPr>
            <w:pStyle w:val="Normal"/>
            <w:jc w:val="center"/>
            <w:rPr>
              <w:u w:val="single"/>
            </w:rPr>
          </w:pPr>
          <w:r>
            <w:rPr>
              <w:u w:val="single"/>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«Физическая культура и спорт»</w:t>
          </w:r>
        </w:p>
        <w:p>
          <w:pPr>
            <w:pStyle w:val="ListParagraph"/>
            <w:numPr>
              <w:ilvl w:val="0"/>
              <w:numId w:val="18"/>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Работа по завершению внесения сведений об объектах спортивной инфраструктуры во Всероссийский реестр объектов спорта.</w:t>
          </w:r>
        </w:p>
        <w:p>
          <w:pPr>
            <w:pStyle w:val="ListParagraph"/>
            <w:numPr>
              <w:ilvl w:val="0"/>
              <w:numId w:val="18"/>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Активизация работы по реализации и популяризации физкультурно-оздоровительного комплекса ГТО (укрепление материально-технической базы центров тестирования ГТО).</w:t>
          </w:r>
        </w:p>
        <w:p>
          <w:pPr>
            <w:pStyle w:val="ListParagraph"/>
            <w:numPr>
              <w:ilvl w:val="0"/>
              <w:numId w:val="18"/>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Развитие спортивной инфраструктуры на территории муниципального образования.</w:t>
          </w:r>
        </w:p>
        <w:p>
          <w:pPr>
            <w:pStyle w:val="ListParagraph"/>
            <w:numPr>
              <w:ilvl w:val="0"/>
              <w:numId w:val="18"/>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Оказание содействия физкультурно-спортивным организациям (местные спортивные федерации), осуществляющим свою деятельность на территории муниципального образования.</w:t>
          </w:r>
        </w:p>
        <w:p>
          <w:pPr>
            <w:pStyle w:val="ListParagraph"/>
            <w:numPr>
              <w:ilvl w:val="0"/>
              <w:numId w:val="18"/>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Привлечение граждан к занятиям физической культуры и спорта посредством проведения массовых спортивных мероприятий, не требующих значительных финансовых затрат.</w:t>
          </w:r>
        </w:p>
        <w:p>
          <w:pPr>
            <w:pStyle w:val="ListParagraph"/>
            <w:numPr>
              <w:ilvl w:val="0"/>
              <w:numId w:val="18"/>
            </w:numPr>
            <w:ind w:left="0"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Активизация работы по увеличению численности занимающихся физической культуры и спортом среди среднего и старшего поколений.</w:t>
          </w:r>
        </w:p>
        <w:p>
          <w:pPr>
            <w:pStyle w:val="ListParagraph"/>
            <w:numPr>
              <w:ilvl w:val="0"/>
              <w:numId w:val="18"/>
            </w:numPr>
            <w:spacing w:lineRule="auto" w:line="240" w:before="0" w:after="0"/>
            <w:ind w:left="0"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Вхождение муниципальных образований в Государственную программу «Развитие физической культуры и спорта в Ивановской области» подпрограммы  Федеральной целевой программы «Развитии физической культуры и спорта Российской Федерации».</w:t>
          </w:r>
        </w:p>
        <w:p>
          <w:pPr>
            <w:pStyle w:val="ListParagraph"/>
            <w:spacing w:lineRule="auto" w:line="240" w:before="0" w:after="0"/>
            <w:ind w:left="0" w:firstLine="709"/>
            <w:contextualSpacing/>
            <w:jc w:val="both"/>
            <w:rPr>
              <w:rFonts w:ascii="Times New Roman" w:hAnsi="Times New Roman"/>
              <w:b/>
              <w:b/>
              <w:sz w:val="28"/>
              <w:szCs w:val="28"/>
            </w:rPr>
          </w:pPr>
          <w:r>
            <w:rPr>
              <w:rFonts w:ascii="Times New Roman" w:hAnsi="Times New Roman"/>
              <w:b/>
              <w:sz w:val="28"/>
              <w:szCs w:val="28"/>
            </w:rPr>
          </w:r>
        </w:p>
        <w:p>
          <w:pPr>
            <w:pStyle w:val="ListParagraph"/>
            <w:spacing w:lineRule="auto" w:line="240" w:before="0" w:after="120"/>
            <w:ind w:left="0" w:firstLine="709"/>
            <w:contextualSpacing/>
            <w:jc w:val="center"/>
            <w:rPr>
              <w:rFonts w:ascii="Times New Roman" w:hAnsi="Times New Roman"/>
              <w:b/>
              <w:b/>
              <w:sz w:val="28"/>
              <w:szCs w:val="28"/>
            </w:rPr>
          </w:pPr>
          <w:r>
            <w:rPr>
              <w:rFonts w:ascii="Times New Roman" w:hAnsi="Times New Roman"/>
              <w:b/>
              <w:sz w:val="28"/>
              <w:szCs w:val="28"/>
            </w:rPr>
            <w:t>6. ЖИЛИЩНОЕ СТРОИТЕЛЬСТВО И ОБЕСПЕЧЕНИЕ ГРАЖДАН ЖИЛЬЕМ</w:t>
          </w:r>
        </w:p>
        <w:p>
          <w:pPr>
            <w:pStyle w:val="Normal"/>
            <w:ind w:firstLine="711"/>
            <w:jc w:val="both"/>
            <w:rPr>
              <w:b/>
              <w:b/>
            </w:rPr>
          </w:pPr>
          <w:r>
            <w:rPr>
              <w:b/>
              <w:bCs/>
            </w:rPr>
            <w:t>24.</w:t>
          </w:r>
          <w:r>
            <w:rPr>
              <w:b/>
            </w:rPr>
            <w:t xml:space="preserve"> Общая площадь жилых помещений, приходящаяся в среднем на 1 жителя (кв. метров)</w:t>
          </w:r>
          <w:r>
            <w:rPr>
              <w:rStyle w:val="FootnoteCharacters"/>
              <w:b/>
              <w:color w:val="FFFFFF" w:themeColor="background1"/>
            </w:rPr>
            <w:t xml:space="preserve"> </w:t>
          </w:r>
        </w:p>
        <w:p>
          <w:pPr>
            <w:pStyle w:val="Style46"/>
            <w:ind w:firstLine="709"/>
            <w:jc w:val="both"/>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 xml:space="preserve">всего </w:t>
          </w:r>
        </w:p>
        <w:p>
          <w:pPr>
            <w:pStyle w:val="Normal"/>
            <w:tabs>
              <w:tab w:val="clear" w:pos="708"/>
              <w:tab w:val="left" w:pos="14685" w:leader="none"/>
            </w:tabs>
            <w:ind w:firstLine="709"/>
            <w:jc w:val="both"/>
            <w:rPr>
              <w:shd w:fill="FFFFFF" w:val="clear"/>
            </w:rPr>
          </w:pPr>
          <w:r>
            <w:rPr>
              <w:shd w:fill="FFFFFF" w:val="clear"/>
            </w:rPr>
            <w:t>В 2019 году, в среднем по области общая площадь жилых помещений, приходящихся на 1 жителя, составила 30,83 кв. м. (в 2018 году — 30,42 кв. м.). Увеличение показателя в 2019 году произошло за счет увеличения количества площади вводимого жилья, а также динамика показателя связана с уменьшением численности населения.</w:t>
          </w:r>
        </w:p>
        <w:p>
          <w:pPr>
            <w:pStyle w:val="Normal"/>
            <w:tabs>
              <w:tab w:val="clear" w:pos="708"/>
              <w:tab w:val="left" w:pos="14685" w:leader="none"/>
            </w:tabs>
            <w:ind w:firstLine="709"/>
            <w:jc w:val="both"/>
            <w:rPr/>
          </w:pPr>
          <w:r>
            <w:rPr>
              <w:b/>
            </w:rPr>
            <w:t>в том числе введенная в действие за один год</w:t>
          </w:r>
          <w:r>
            <w:rPr/>
            <w:t xml:space="preserve"> </w:t>
          </w:r>
        </w:p>
        <w:p>
          <w:pPr>
            <w:pStyle w:val="Normal"/>
            <w:ind w:firstLine="709"/>
            <w:jc w:val="both"/>
            <w:rPr>
              <w:bCs/>
              <w:spacing w:val="-6"/>
            </w:rPr>
          </w:pPr>
          <w:r>
            <w:rPr>
              <w:bCs/>
              <w:spacing w:val="-6"/>
            </w:rPr>
            <w:t>В среднем по области в 2019 году значение показателя составило 0,19 кв. м.</w:t>
          </w:r>
        </w:p>
        <w:p>
          <w:pPr>
            <w:pStyle w:val="Normal"/>
            <w:ind w:firstLine="709"/>
            <w:jc w:val="both"/>
            <w:rPr>
              <w:bCs/>
              <w:spacing w:val="-6"/>
            </w:rPr>
          </w:pPr>
          <w:r>
            <w:rPr>
              <w:bCs/>
              <w:spacing w:val="-6"/>
            </w:rPr>
            <w:t xml:space="preserve">Лучшее значение показателя среди городских округов имеют Брянск (0,51 кв.м.) и  Сельцо (0,2 кв. м.), наименьшее – Фокино и Клинцы (0,05 кв. м. и 0,18 кв. м. соответственно). </w:t>
          </w:r>
        </w:p>
        <w:p>
          <w:pPr>
            <w:pStyle w:val="Normal"/>
            <w:ind w:firstLine="709"/>
            <w:jc w:val="both"/>
            <w:rPr>
              <w:bCs/>
              <w:spacing w:val="-6"/>
            </w:rPr>
          </w:pPr>
          <w:r>
            <w:rPr>
              <w:bCs/>
              <w:spacing w:val="-6"/>
            </w:rPr>
            <w:t xml:space="preserve">В группе муниципальных районов  лидером является Брянский муниципальный район (1,3 кв. м). Наименьшее значение показателя в Красногорском и Злынковском муниципальных районах (0,02 кв. м. и 0,03 кв. м соответственно). </w:t>
          </w:r>
        </w:p>
        <w:p>
          <w:pPr>
            <w:pStyle w:val="Normal"/>
            <w:ind w:firstLine="709"/>
            <w:jc w:val="both"/>
            <w:rPr>
              <w:bCs/>
              <w:spacing w:val="-6"/>
            </w:rPr>
          </w:pPr>
          <w:r>
            <w:rPr>
              <w:bCs/>
              <w:spacing w:val="-6"/>
            </w:rPr>
          </w:r>
        </w:p>
        <w:p>
          <w:pPr>
            <w:pStyle w:val="Normal"/>
            <w:ind w:firstLine="709"/>
            <w:jc w:val="both"/>
            <w:rPr>
              <w:b/>
              <w:b/>
            </w:rPr>
          </w:pPr>
          <w:r>
            <w:rPr>
              <w:b/>
            </w:rPr>
            <w:t>26.</w:t>
          </w:r>
          <w:r>
            <w:rPr>
              <w:b/>
              <w:spacing w:val="-10"/>
            </w:rPr>
            <w:t xml:space="preserve">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w:t>
          </w:r>
          <w:r>
            <w:rPr>
              <w:b/>
            </w:rPr>
            <w:t>(кв. метров)</w:t>
          </w:r>
          <w:r>
            <w:rPr>
              <w:rStyle w:val="FootnoteCharacters"/>
              <w:b/>
              <w:color w:val="FFFFFF" w:themeColor="background1"/>
            </w:rPr>
            <w:t xml:space="preserve"> </w:t>
          </w:r>
        </w:p>
        <w:p>
          <w:pPr>
            <w:pStyle w:val="Normal"/>
            <w:jc w:val="both"/>
            <w:rPr>
              <w:b/>
              <w:b/>
            </w:rPr>
          </w:pPr>
          <w:r>
            <w:rPr>
              <w:b/>
            </w:rPr>
            <w:t xml:space="preserve">объектов жилищного строительства - в течение 3 лет, </w:t>
          </w:r>
        </w:p>
        <w:p>
          <w:pPr>
            <w:pStyle w:val="Normal"/>
            <w:spacing w:before="0" w:after="120"/>
            <w:jc w:val="both"/>
            <w:rPr>
              <w:b/>
              <w:b/>
            </w:rPr>
          </w:pPr>
          <w:r>
            <w:rPr>
              <w:b/>
            </w:rPr>
            <w:t>иных объектов капитального строительства - в течение 5 лет</w:t>
          </w:r>
        </w:p>
        <w:p>
          <w:pPr>
            <w:pStyle w:val="Normal"/>
            <w:ind w:firstLine="720"/>
            <w:jc w:val="both"/>
            <w:rPr/>
          </w:pPr>
          <w:r>
            <w:rPr/>
            <w:t xml:space="preserve">К нулевому значению показателя в городских округах и во многих муниципальных районах приводит более низкая инвестиционная привлекательность таких муниципальных образований по сравнению с муниципалитетами, на территориях которых есть земельные участки, неосвоенные в установленные сроки, и отсутствие строительной деятельности, что, в свою очередь, необъективно отражает деятельность органов местного самоуправления в рамках данного показателя. </w:t>
          </w:r>
        </w:p>
        <w:p>
          <w:pPr>
            <w:pStyle w:val="Normal"/>
            <w:ind w:firstLine="720"/>
            <w:jc w:val="both"/>
            <w:rPr/>
          </w:pPr>
          <w:r>
            <w:rPr/>
            <w:t xml:space="preserve">В связи с изложенным, лидеры по группе муниципальных образований выделены с учетом минимального значения площадей земельных участков, предоставленных для объектов жилищного строительства в 2013-2015 годах, для иных объектов капитального строительства - в 2012-2015 годах, в отношении которых до 31.12.2019 не получено разрешение на ввод объектов в эксплуатацию. </w:t>
          </w:r>
        </w:p>
        <w:p>
          <w:pPr>
            <w:pStyle w:val="Normal"/>
            <w:ind w:firstLine="720"/>
            <w:jc w:val="both"/>
            <w:rPr/>
          </w:pPr>
          <w:r>
            <w:rPr/>
            <w:t xml:space="preserve">В группе городских округов лидером по данному показателю является городской округ Новозыбков по объектам жилищного строительства и городские округа Новозыбков и Сельцо по иным объектам капитального строительства. </w:t>
          </w:r>
        </w:p>
        <w:p>
          <w:pPr>
            <w:pStyle w:val="Normal"/>
            <w:ind w:firstLine="709"/>
            <w:jc w:val="both"/>
            <w:rPr/>
          </w:pPr>
          <w:r>
            <w:rPr/>
            <w:t>Самый высокий показатель в группе по иным объектам капитального строительства - у городского округа Брянск.</w:t>
          </w:r>
        </w:p>
        <w:p>
          <w:pPr>
            <w:pStyle w:val="Normal"/>
            <w:ind w:firstLine="720"/>
            <w:jc w:val="both"/>
            <w:rPr/>
          </w:pPr>
          <w:r>
            <w:rPr/>
            <w:t xml:space="preserve">В  муниципальных районах лидерами по объектам жилищного строительства являются все муниципальные районы, за исключением Карачевского и Севского муниципальных районов, по иным объектам капитального строительства –  Карачевского и Красногорского муниципальных районов. </w:t>
          </w:r>
        </w:p>
        <w:p>
          <w:pPr>
            <w:pStyle w:val="Normal"/>
            <w:ind w:firstLine="720"/>
            <w:jc w:val="both"/>
            <w:rPr/>
          </w:pPr>
          <w:r>
            <w:rPr/>
          </w:r>
        </w:p>
        <w:p>
          <w:pPr>
            <w:pStyle w:val="Normal"/>
            <w:rPr>
              <w:color w:val="000000"/>
            </w:rPr>
          </w:pPr>
          <w:r>
            <w:rPr>
              <w:color w:val="000000"/>
            </w:rPr>
          </w:r>
        </w:p>
        <w:p>
          <w:pPr>
            <w:pStyle w:val="Style35"/>
            <w:spacing w:before="0" w:after="0"/>
            <w:ind w:firstLine="709"/>
            <w:jc w:val="center"/>
            <w:rPr>
              <w:bCs/>
              <w:sz w:val="28"/>
              <w:szCs w:val="28"/>
              <w:u w:val="single"/>
            </w:rPr>
          </w:pPr>
          <w:r>
            <w:rPr>
              <w:sz w:val="28"/>
              <w:szCs w:val="28"/>
              <w:u w:val="single"/>
            </w:rPr>
            <w:t xml:space="preserve">Зоны, требующие приоритетного внимания органов местного самоуправления </w:t>
          </w:r>
          <w:r>
            <w:rPr>
              <w:bCs/>
              <w:sz w:val="28"/>
              <w:szCs w:val="28"/>
              <w:u w:val="single"/>
            </w:rPr>
            <w:t>городских округов и муниципальных районов</w:t>
          </w:r>
          <w:r>
            <w:rPr>
              <w:sz w:val="28"/>
              <w:szCs w:val="28"/>
              <w:u w:val="single"/>
            </w:rPr>
            <w:t xml:space="preserve"> в сфере «</w:t>
          </w:r>
          <w:r>
            <w:rPr>
              <w:bCs/>
              <w:sz w:val="28"/>
              <w:szCs w:val="28"/>
              <w:u w:val="single"/>
            </w:rPr>
            <w:t xml:space="preserve">Жилищное строительство </w:t>
          </w:r>
        </w:p>
        <w:p>
          <w:pPr>
            <w:pStyle w:val="Style35"/>
            <w:spacing w:before="0" w:after="0"/>
            <w:ind w:firstLine="709"/>
            <w:jc w:val="center"/>
            <w:rPr>
              <w:sz w:val="28"/>
              <w:szCs w:val="28"/>
              <w:u w:val="single"/>
            </w:rPr>
          </w:pPr>
          <w:r>
            <w:rPr>
              <w:bCs/>
              <w:sz w:val="28"/>
              <w:szCs w:val="28"/>
              <w:u w:val="single"/>
            </w:rPr>
            <w:t>и обеспечение граждан жильем</w:t>
          </w:r>
          <w:r>
            <w:rPr>
              <w:sz w:val="28"/>
              <w:szCs w:val="28"/>
              <w:u w:val="single"/>
            </w:rPr>
            <w:t>»</w:t>
          </w:r>
        </w:p>
        <w:p>
          <w:pPr>
            <w:pStyle w:val="ListParagraph"/>
            <w:numPr>
              <w:ilvl w:val="2"/>
              <w:numId w:val="21"/>
            </w:numPr>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 xml:space="preserve">Принятие мер, направленных на сокращение объемов незавершенного в установленные сроки строительства; принятие мер по упрощению процедур оформления разрешительной документации. </w:t>
          </w:r>
        </w:p>
        <w:p>
          <w:pPr>
            <w:pStyle w:val="ListParagraph"/>
            <w:numPr>
              <w:ilvl w:val="2"/>
              <w:numId w:val="21"/>
            </w:numPr>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Принятие мер по предоставлению физическим и юридическим лицам земельных участков, предназначенных для жилищного строительства (в том числе индивидуального)</w:t>
          </w:r>
        </w:p>
        <w:p>
          <w:pPr>
            <w:pStyle w:val="ListParagraph"/>
            <w:numPr>
              <w:ilvl w:val="2"/>
              <w:numId w:val="21"/>
            </w:numPr>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Определение потребности в жилье для граждан, нуждающихся в улучшении жилищных условий, и в дальнейшем планирование источников финансирования для его приобретения.</w:t>
          </w:r>
        </w:p>
        <w:p>
          <w:pPr>
            <w:pStyle w:val="ListParagraph"/>
            <w:numPr>
              <w:ilvl w:val="2"/>
              <w:numId w:val="21"/>
            </w:numPr>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Определение дополнительных источников дохода, в том числе и привлечение внебюджетных источников, для строительства муниципального жилья.</w:t>
          </w:r>
        </w:p>
        <w:p>
          <w:pPr>
            <w:pStyle w:val="ListParagraph"/>
            <w:numPr>
              <w:ilvl w:val="2"/>
              <w:numId w:val="21"/>
            </w:numPr>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Упрощение процедуры согласования разрешительной документации.</w:t>
          </w:r>
        </w:p>
        <w:p>
          <w:pPr>
            <w:pStyle w:val="Style35"/>
            <w:spacing w:before="0" w:after="0"/>
            <w:ind w:firstLine="709"/>
            <w:jc w:val="center"/>
            <w:rPr>
              <w:bCs/>
              <w:i/>
              <w:i/>
              <w:sz w:val="28"/>
              <w:szCs w:val="28"/>
              <w:u w:val="single"/>
            </w:rPr>
          </w:pPr>
          <w:r>
            <w:rPr>
              <w:bCs/>
              <w:i/>
              <w:sz w:val="28"/>
              <w:szCs w:val="28"/>
              <w:u w:val="single"/>
            </w:rPr>
          </w:r>
        </w:p>
        <w:p>
          <w:pPr>
            <w:pStyle w:val="Style35"/>
            <w:spacing w:before="0" w:after="0"/>
            <w:ind w:firstLine="709"/>
            <w:jc w:val="center"/>
            <w:rPr>
              <w:sz w:val="28"/>
              <w:szCs w:val="28"/>
              <w:u w:val="single"/>
            </w:rPr>
          </w:pPr>
          <w:r>
            <w:rPr>
              <w:bCs/>
              <w:sz w:val="28"/>
              <w:szCs w:val="28"/>
              <w:u w:val="single"/>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«Жилищное строительство и обеспечение граждан жильем</w:t>
          </w:r>
          <w:r>
            <w:rPr>
              <w:sz w:val="28"/>
              <w:szCs w:val="28"/>
              <w:u w:val="single"/>
            </w:rPr>
            <w:t>»</w:t>
          </w:r>
        </w:p>
        <w:p>
          <w:pPr>
            <w:pStyle w:val="Style35"/>
            <w:spacing w:before="0" w:after="0"/>
            <w:ind w:firstLine="709"/>
            <w:jc w:val="center"/>
            <w:rPr>
              <w:sz w:val="28"/>
              <w:szCs w:val="28"/>
              <w:u w:val="single"/>
            </w:rPr>
          </w:pPr>
          <w:r>
            <w:rPr>
              <w:sz w:val="28"/>
              <w:szCs w:val="28"/>
              <w:u w:val="single"/>
            </w:rPr>
          </w:r>
        </w:p>
        <w:p>
          <w:pPr>
            <w:pStyle w:val="ListParagraph"/>
            <w:numPr>
              <w:ilvl w:val="0"/>
              <w:numId w:val="19"/>
            </w:numPr>
            <w:spacing w:lineRule="auto" w:line="240" w:before="0" w:after="0"/>
            <w:ind w:left="0" w:firstLine="851"/>
            <w:contextualSpacing/>
            <w:jc w:val="both"/>
            <w:rPr/>
          </w:pPr>
          <w:r>
            <w:rPr>
              <w:rFonts w:ascii="Times New Roman" w:hAnsi="Times New Roman"/>
              <w:sz w:val="28"/>
              <w:szCs w:val="28"/>
            </w:rPr>
            <w:t>Взаимодействие с заявителем в рамках предоставления услуг в области градостроительной</w:t>
          </w:r>
          <w:r>
            <w:rPr>
              <w:rFonts w:ascii="Times New Roman" w:hAnsi="Times New Roman"/>
              <w:color w:val="000000" w:themeColor="text1"/>
              <w:sz w:val="28"/>
              <w:szCs w:val="28"/>
            </w:rPr>
            <w:t xml:space="preserve"> деятельности, сокращение времени проведения административных процедур; размещение на сайтах информационных материалов для застройщиков по вопросам градостроительной деятельности, в том числе информации о предоставляемых услугах и возможности их получения в электронной форме.</w:t>
          </w:r>
        </w:p>
        <w:p>
          <w:pPr>
            <w:pStyle w:val="ListParagraph"/>
            <w:numPr>
              <w:ilvl w:val="0"/>
              <w:numId w:val="19"/>
            </w:numPr>
            <w:spacing w:lineRule="auto" w:line="240" w:before="0" w:after="0"/>
            <w:ind w:left="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Оказание содействия гражданам, имеющим возможность за счет собственных средств обеспечивать строительство жилья.</w:t>
          </w:r>
        </w:p>
        <w:p>
          <w:pPr>
            <w:pStyle w:val="ListParagraph"/>
            <w:numPr>
              <w:ilvl w:val="0"/>
              <w:numId w:val="19"/>
            </w:numPr>
            <w:spacing w:lineRule="auto" w:line="240" w:before="0" w:after="0"/>
            <w:ind w:left="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Рассмотрение иных механизмов переселения граждан из аварийного жилищного фонда после завершения программы переселения граждан в 2025 году, таких как развитие застроенных территорий, развитие рынка арендного жилья</w:t>
          </w:r>
        </w:p>
        <w:p>
          <w:pPr>
            <w:pStyle w:val="ListParagraph"/>
            <w:numPr>
              <w:ilvl w:val="0"/>
              <w:numId w:val="19"/>
            </w:numPr>
            <w:spacing w:lineRule="auto" w:line="240" w:before="0" w:after="0"/>
            <w:ind w:left="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Проведение анализа наличия свободных земельных участков, пригодных для строительства, разработка схем прокладки инженерных коммуникаций к площадкам перспективной застройки.</w:t>
          </w:r>
        </w:p>
        <w:p>
          <w:pPr>
            <w:pStyle w:val="ListParagraph"/>
            <w:spacing w:lineRule="auto" w:line="240" w:before="0" w:after="0"/>
            <w:ind w:left="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r>
        </w:p>
        <w:p>
          <w:pPr>
            <w:pStyle w:val="ListParagraph"/>
            <w:spacing w:lineRule="auto" w:line="240" w:before="0" w:after="120"/>
            <w:ind w:left="1440" w:hanging="0"/>
            <w:contextualSpacing/>
            <w:jc w:val="center"/>
            <w:rPr>
              <w:rFonts w:ascii="Times New Roman" w:hAnsi="Times New Roman"/>
              <w:b/>
              <w:b/>
              <w:sz w:val="28"/>
              <w:szCs w:val="28"/>
            </w:rPr>
          </w:pPr>
          <w:r>
            <w:rPr>
              <w:rFonts w:ascii="Times New Roman" w:hAnsi="Times New Roman"/>
              <w:b/>
              <w:sz w:val="28"/>
              <w:szCs w:val="28"/>
            </w:rPr>
            <w:t>7. ЖИЛИЩНО-КОММУНАЛЬНОЕ ХОЗЯЙСТВО</w:t>
          </w:r>
        </w:p>
        <w:p>
          <w:pPr>
            <w:pStyle w:val="Normal"/>
            <w:spacing w:before="0" w:after="120"/>
            <w:ind w:firstLine="567"/>
            <w:jc w:val="both"/>
            <w:rPr>
              <w:b/>
              <w:b/>
              <w:color w:val="000000"/>
            </w:rPr>
          </w:pPr>
          <w:r>
            <w:rPr>
              <w:b/>
            </w:rPr>
            <w:t xml:space="preserve">27. </w:t>
          </w:r>
          <w:r>
            <w:rPr>
              <w:b/>
              <w:color w:val="000000"/>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pPr>
            <w:pStyle w:val="Normal"/>
            <w:ind w:firstLine="709"/>
            <w:jc w:val="both"/>
            <w:rPr/>
          </w:pPr>
          <w:r>
            <w:rPr/>
            <w:t>В 2019 году доля многоквартирных домов в среднем по Брянской области, где выбран один из способов управления, составила 99,3%.</w:t>
          </w:r>
        </w:p>
        <w:p>
          <w:pPr>
            <w:pStyle w:val="Normal"/>
            <w:ind w:firstLine="709"/>
            <w:jc w:val="both"/>
            <w:rPr/>
          </w:pPr>
          <w:r>
            <w:rPr/>
            <w:t>В 2019 году почти все муниципалитеты имеют абсолютное значение по показателю, такие как городской округ Клинцы, городской округ Новозыбков, городской округ Сельцо, а также все муниципальные районы, за исключением Брянского, Климовского, Комаричского и Рогнединского муниципальных районов.</w:t>
          </w:r>
        </w:p>
        <w:p>
          <w:pPr>
            <w:pStyle w:val="Normal"/>
            <w:ind w:firstLine="709"/>
            <w:jc w:val="both"/>
            <w:rPr/>
          </w:pPr>
          <w:r>
            <w:rPr/>
            <w:t xml:space="preserve">Достигнутые значения свидетельствуют об активной работе администраций муниципальных образований по организации и проведению собраний собственников жилья с целью определения способа управления многоквартирным домом. </w:t>
          </w:r>
        </w:p>
        <w:p>
          <w:pPr>
            <w:pStyle w:val="Normal"/>
            <w:ind w:firstLine="709"/>
            <w:jc w:val="both"/>
            <w:rPr/>
          </w:pPr>
          <w:r>
            <w:rPr/>
          </w:r>
        </w:p>
        <w:p>
          <w:pPr>
            <w:pStyle w:val="Normal"/>
            <w:ind w:firstLine="709"/>
            <w:jc w:val="both"/>
            <w:rPr>
              <w:b/>
              <w:b/>
            </w:rPr>
          </w:pPr>
          <w:r>
            <w:rPr>
              <w:b/>
            </w:rPr>
            <w:t>28. Доля организаций коммунального комплекса, осуществляющих производство товаров, оказание услуг по водо-, тепло-, газо-, энергоснабжению,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pPr>
            <w:pStyle w:val="Style45"/>
            <w:ind w:firstLine="709"/>
            <w:jc w:val="both"/>
            <w:rPr>
              <w:rFonts w:ascii="Times New Roman" w:hAnsi="Times New Roman" w:cs="Times New Roman"/>
              <w:sz w:val="28"/>
              <w:szCs w:val="28"/>
            </w:rPr>
          </w:pPr>
          <w:r>
            <w:rPr>
              <w:rFonts w:cs="Times New Roman" w:ascii="Times New Roman" w:hAnsi="Times New Roman"/>
              <w:sz w:val="28"/>
              <w:szCs w:val="28"/>
            </w:rPr>
            <w:t xml:space="preserve">В 2019 в 10 муниципальных образованиях области доля участия государственного (муниципального) имущества в уставном капитале организаций коммунального комплекса, и использующих объекты коммунальной инфраструктуры на праве частной собственности, по договору аренды или концессии составляет более 75%. </w:t>
          </w:r>
        </w:p>
        <w:p>
          <w:pPr>
            <w:pStyle w:val="Style45"/>
            <w:ind w:firstLine="709"/>
            <w:jc w:val="both"/>
            <w:rPr>
              <w:rFonts w:ascii="Times New Roman" w:hAnsi="Times New Roman" w:cs="Times New Roman"/>
              <w:sz w:val="28"/>
              <w:szCs w:val="28"/>
            </w:rPr>
          </w:pPr>
          <w:r>
            <w:rPr>
              <w:rFonts w:cs="Times New Roman" w:ascii="Times New Roman" w:hAnsi="Times New Roman"/>
              <w:sz w:val="28"/>
              <w:szCs w:val="28"/>
            </w:rPr>
            <w:t>В группе городские округа снижение показателя в городском округе Брянске по сравнению с годом, предшествующим рассматриваемому периоду, обусловлено ликвидацией предприятия в сфере водоотведения, в уставном капитале которого участие муниципалитета составляет не более 25 %. В остальных городских округах данный показатель сохранился на уровне прошлого года.</w:t>
          </w:r>
        </w:p>
        <w:p>
          <w:pPr>
            <w:pStyle w:val="Style45"/>
            <w:ind w:firstLine="709"/>
            <w:jc w:val="both"/>
            <w:rPr>
              <w:rFonts w:ascii="Times New Roman" w:hAnsi="Times New Roman" w:cs="Times New Roman"/>
              <w:sz w:val="28"/>
              <w:szCs w:val="28"/>
            </w:rPr>
          </w:pPr>
          <w:r>
            <w:rPr>
              <w:rFonts w:cs="Times New Roman" w:ascii="Times New Roman" w:hAnsi="Times New Roman"/>
              <w:sz w:val="28"/>
              <w:szCs w:val="28"/>
            </w:rPr>
            <w:t xml:space="preserve">В группе муниципальных районов  в Выгоничском, Гордеевском, Жирятинском, Клетнынском, Красногорском и Мглинском муниципальных районах в течение 2019 года показатели остались неизменными. </w:t>
          </w:r>
        </w:p>
        <w:p>
          <w:pPr>
            <w:pStyle w:val="Style45"/>
            <w:ind w:firstLine="709"/>
            <w:jc w:val="both"/>
            <w:rPr>
              <w:rFonts w:ascii="Times New Roman" w:hAnsi="Times New Roman" w:cs="Times New Roman"/>
              <w:sz w:val="28"/>
              <w:szCs w:val="28"/>
            </w:rPr>
          </w:pPr>
          <w:r>
            <w:rPr>
              <w:rFonts w:cs="Times New Roman" w:ascii="Times New Roman" w:hAnsi="Times New Roman"/>
              <w:sz w:val="28"/>
              <w:szCs w:val="28"/>
            </w:rPr>
          </w:r>
        </w:p>
        <w:p>
          <w:pPr>
            <w:pStyle w:val="Style45"/>
            <w:ind w:firstLine="709"/>
            <w:jc w:val="both"/>
            <w:rPr>
              <w:rFonts w:ascii="Times New Roman" w:hAnsi="Times New Roman" w:cs="Times New Roman"/>
              <w:b/>
              <w:b/>
              <w:spacing w:val="-4"/>
              <w:sz w:val="28"/>
              <w:szCs w:val="28"/>
            </w:rPr>
          </w:pPr>
          <w:r>
            <w:rPr>
              <w:rFonts w:cs="Times New Roman" w:ascii="Times New Roman" w:hAnsi="Times New Roman"/>
              <w:b/>
              <w:spacing w:val="-4"/>
              <w:sz w:val="28"/>
              <w:szCs w:val="28"/>
            </w:rPr>
            <w:t>29. Доля многоквартирных домов, расположенных на земельных участках, в отношении которых осуществлен государственный кадастровый учет (процентов)</w:t>
          </w:r>
        </w:p>
        <w:p>
          <w:pPr>
            <w:pStyle w:val="Normal"/>
            <w:ind w:firstLine="709"/>
            <w:jc w:val="both"/>
            <w:rPr>
              <w:spacing w:val="-4"/>
            </w:rPr>
          </w:pPr>
          <w:r>
            <w:rPr>
              <w:spacing w:val="-4"/>
            </w:rPr>
            <w:t xml:space="preserve">В муниципальных образованиях, принимающих участие в реализации Федерального закона от 21.07.2007 № 185-ФЗ «О Фонде содействия реформированию жилищно-коммунального хозяйства», активно проводились мероприятия в рамках утвержденных графиков проведения работ по государственному кадастровому учету земельных участков, на которых расположены многоквартирные дома, включенные в региональные адресные программы по проведению капитального ремонта. </w:t>
          </w:r>
        </w:p>
        <w:p>
          <w:pPr>
            <w:pStyle w:val="Normal"/>
            <w:ind w:firstLine="709"/>
            <w:jc w:val="both"/>
            <w:rPr>
              <w:spacing w:val="-4"/>
            </w:rPr>
          </w:pPr>
          <w:r>
            <w:rPr>
              <w:spacing w:val="-4"/>
            </w:rPr>
            <w:t>По результатам 2019 года в группе городские округа не завершены мероприятия в городском округе Брянск (90,8%), Клинцы (89%) и Фокино (68,3%).</w:t>
          </w:r>
        </w:p>
        <w:p>
          <w:pPr>
            <w:pStyle w:val="Normal"/>
            <w:ind w:firstLine="709"/>
            <w:jc w:val="both"/>
            <w:rPr>
              <w:spacing w:val="-4"/>
            </w:rPr>
          </w:pPr>
          <w:r>
            <w:rPr>
              <w:spacing w:val="-4"/>
            </w:rPr>
            <w:t>В группе муниципальных районов  завершены мероприятия в Брянском, Гордеевском, Карачевском, Мглинском и Погарском муниципальных районах. Наименьшее значение показателя в Жуковском муниципальном районе (27,3%).</w:t>
          </w:r>
        </w:p>
        <w:p>
          <w:pPr>
            <w:pStyle w:val="Normal"/>
            <w:ind w:firstLine="709"/>
            <w:jc w:val="both"/>
            <w:rPr>
              <w:spacing w:val="-4"/>
            </w:rPr>
          </w:pPr>
          <w:r>
            <w:rPr>
              <w:spacing w:val="-4"/>
            </w:rPr>
            <w:t>По сведениям глав администраций, в последующие годы планового периода планируется изыскивать источники финансирования в местных бюджетах для улучшения значения данного показателя.</w:t>
          </w:r>
        </w:p>
        <w:p>
          <w:pPr>
            <w:pStyle w:val="Normal"/>
            <w:ind w:firstLine="709"/>
            <w:jc w:val="both"/>
            <w:rPr/>
          </w:pPr>
          <w:r>
            <w:rPr/>
          </w:r>
        </w:p>
        <w:p>
          <w:pPr>
            <w:pStyle w:val="Normal"/>
            <w:ind w:firstLine="709"/>
            <w:jc w:val="both"/>
            <w:rPr>
              <w:shd w:fill="auto" w:val="clear"/>
            </w:rPr>
          </w:pPr>
          <w:r>
            <w:rPr>
              <w:b/>
              <w:spacing w:val="-4"/>
              <w:shd w:fill="auto" w:val="clear"/>
            </w:rPr>
            <w:t>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pPr>
            <w:pStyle w:val="Normal"/>
            <w:ind w:firstLine="709"/>
            <w:jc w:val="both"/>
            <w:rPr>
              <w:spacing w:val="-4"/>
            </w:rPr>
          </w:pPr>
          <w:r>
            <w:rPr>
              <w:spacing w:val="-4"/>
            </w:rPr>
            <w:t xml:space="preserve">Показатель напрямую зависит от финансирования из федерального и областного бюджетов мероприятий по ипотечному кредитованию молодых семей, предоставлению жилья сиротам, ветеранам Великой Отечественной Войны и членам их семей. </w:t>
          </w:r>
        </w:p>
        <w:p>
          <w:pPr>
            <w:pStyle w:val="Normal"/>
            <w:ind w:firstLine="709"/>
            <w:jc w:val="both"/>
            <w:rPr>
              <w:spacing w:val="-4"/>
            </w:rPr>
          </w:pPr>
          <w:r>
            <w:rPr>
              <w:spacing w:val="-4"/>
            </w:rPr>
            <w:t>Показатель доли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в ряде муниципальных образований Брянской области, увеличился благодаря реализации программы переселения граждан из аварийного жилищного фонда и субсидирования на приобретение жилья за счёт федерального бюджета детей-сирот и ветеранов Великой Отечественной Войны.</w:t>
          </w:r>
        </w:p>
        <w:p>
          <w:pPr>
            <w:pStyle w:val="Normal"/>
            <w:ind w:firstLine="709"/>
            <w:jc w:val="both"/>
            <w:rPr>
              <w:spacing w:val="-4"/>
            </w:rPr>
          </w:pPr>
          <w:r>
            <w:rPr>
              <w:spacing w:val="-4"/>
            </w:rPr>
            <w:t xml:space="preserve">По результатам 2019 года в группе городские округа лидирует городской округ Брянск (6,99%), наименьшее значение показателя в городском округе Сельцо (2,9%). </w:t>
          </w:r>
        </w:p>
        <w:p>
          <w:pPr>
            <w:pStyle w:val="Normal"/>
            <w:ind w:firstLine="709"/>
            <w:jc w:val="both"/>
            <w:rPr>
              <w:spacing w:val="-4"/>
            </w:rPr>
          </w:pPr>
          <w:r>
            <w:rPr>
              <w:spacing w:val="-4"/>
            </w:rPr>
            <w:t xml:space="preserve">В группе муниципальных районов наибольшее значение показателя в Гордеевском муниципальном районе (92%), наименьшее в Унечском муниципальном районе (1,5%). </w:t>
          </w:r>
        </w:p>
        <w:p>
          <w:pPr>
            <w:pStyle w:val="Normal"/>
            <w:ind w:firstLine="709"/>
            <w:jc w:val="both"/>
            <w:rPr>
              <w:spacing w:val="-4"/>
            </w:rPr>
          </w:pPr>
          <w:r>
            <w:rPr>
              <w:spacing w:val="-4"/>
            </w:rPr>
          </w:r>
        </w:p>
        <w:p>
          <w:pPr>
            <w:pStyle w:val="Normal"/>
            <w:ind w:firstLine="708"/>
            <w:jc w:val="center"/>
            <w:rPr>
              <w:spacing w:val="-4"/>
              <w:u w:val="single"/>
            </w:rPr>
          </w:pPr>
          <w:r>
            <w:rPr>
              <w:u w:val="single"/>
            </w:rPr>
            <w:t>Зоны, требующие приоритетного внимания органов местного самоуправления городских округов и муниципальных районов в сфере «Жилищно-коммунальное хозяйство»</w:t>
          </w:r>
        </w:p>
        <w:p>
          <w:pPr>
            <w:pStyle w:val="ListParagraph"/>
            <w:numPr>
              <w:ilvl w:val="0"/>
              <w:numId w:val="17"/>
            </w:numPr>
            <w:spacing w:lineRule="auto" w:line="240"/>
            <w:ind w:left="0" w:firstLine="567"/>
            <w:rPr>
              <w:rFonts w:ascii="Times New Roman" w:hAnsi="Times New Roman"/>
              <w:sz w:val="28"/>
              <w:szCs w:val="28"/>
            </w:rPr>
          </w:pPr>
          <w:r>
            <w:rPr>
              <w:rFonts w:ascii="Times New Roman" w:hAnsi="Times New Roman"/>
              <w:sz w:val="28"/>
              <w:szCs w:val="28"/>
            </w:rPr>
            <w:t>Своевременные взаиморасчеты с поставщиками топливно-энергетических ресурсов.</w:t>
          </w:r>
        </w:p>
        <w:p>
          <w:pPr>
            <w:pStyle w:val="ListParagraph"/>
            <w:numPr>
              <w:ilvl w:val="0"/>
              <w:numId w:val="17"/>
            </w:numPr>
            <w:spacing w:lineRule="auto" w:line="240"/>
            <w:ind w:left="0" w:firstLine="567"/>
            <w:jc w:val="both"/>
            <w:rPr>
              <w:rFonts w:ascii="Times New Roman" w:hAnsi="Times New Roman"/>
              <w:sz w:val="28"/>
              <w:szCs w:val="28"/>
            </w:rPr>
          </w:pPr>
          <w:r>
            <w:rPr>
              <w:rFonts w:ascii="Times New Roman" w:hAnsi="Times New Roman"/>
              <w:sz w:val="28"/>
              <w:szCs w:val="28"/>
            </w:rPr>
            <w:t>Разработка конструктивных мер для сокращения и ликвидации просроченной дебиторской задолженности ресурсоснабжающих организаций.</w:t>
          </w:r>
        </w:p>
        <w:p>
          <w:pPr>
            <w:pStyle w:val="ListParagraph"/>
            <w:numPr>
              <w:ilvl w:val="0"/>
              <w:numId w:val="17"/>
            </w:numPr>
            <w:spacing w:lineRule="auto" w:line="240"/>
            <w:ind w:left="0" w:firstLine="567"/>
            <w:jc w:val="both"/>
            <w:rPr>
              <w:rFonts w:ascii="Times New Roman" w:hAnsi="Times New Roman"/>
              <w:sz w:val="28"/>
              <w:szCs w:val="28"/>
            </w:rPr>
          </w:pPr>
          <w:r>
            <w:rPr>
              <w:rFonts w:ascii="Times New Roman" w:hAnsi="Times New Roman"/>
              <w:sz w:val="28"/>
              <w:szCs w:val="28"/>
            </w:rPr>
            <w:t>Создание благоприятных условий для привлечения частных инвестиций в сферу жилищно-коммунального хозяйства в целях модернизации и повышения энергоэффективности объектов коммунального хозяйства в рамках решения задачи по увеличению доли заемных средств в общем объеме капитальных вложений в системы теплоснабжения, водоснабжения, водоотведения и очистки сточных вод до 30 процентов.</w:t>
          </w:r>
        </w:p>
        <w:p>
          <w:pPr>
            <w:pStyle w:val="Normal"/>
            <w:ind w:firstLine="708"/>
            <w:jc w:val="center"/>
            <w:rPr>
              <w:spacing w:val="-4"/>
            </w:rPr>
          </w:pPr>
          <w:r>
            <w:rPr>
              <w:u w:val="single"/>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«Жилищно-коммунальное хозяйство»</w:t>
          </w:r>
        </w:p>
        <w:p>
          <w:pPr>
            <w:pStyle w:val="ListParagraph"/>
            <w:numPr>
              <w:ilvl w:val="0"/>
              <w:numId w:val="10"/>
            </w:numPr>
            <w:tabs>
              <w:tab w:val="clear" w:pos="708"/>
              <w:tab w:val="left" w:pos="0" w:leader="none"/>
              <w:tab w:val="left" w:pos="180" w:leader="none"/>
              <w:tab w:val="left" w:pos="360" w:leader="none"/>
            </w:tabs>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Активизация претензионно-исковой работы хозяйствующих субъектов по взысканию дебиторской задолженности потребителей за предоставленные коммунальные услуги.</w:t>
          </w:r>
        </w:p>
        <w:p>
          <w:pPr>
            <w:pStyle w:val="ListParagraph"/>
            <w:numPr>
              <w:ilvl w:val="0"/>
              <w:numId w:val="10"/>
            </w:numPr>
            <w:tabs>
              <w:tab w:val="clear" w:pos="708"/>
              <w:tab w:val="left" w:pos="0" w:leader="none"/>
              <w:tab w:val="left" w:pos="180" w:leader="none"/>
              <w:tab w:val="left" w:pos="360" w:leader="none"/>
            </w:tabs>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Обеспечение участия хозяйствующих субъектов в области жилищно-коммунального хозяйства в федеральных целевых программах с целью привлечения бюджетных средств в модернизацию объектов жизнеобеспечения.</w:t>
          </w:r>
        </w:p>
        <w:p>
          <w:pPr>
            <w:pStyle w:val="ListParagraph"/>
            <w:numPr>
              <w:ilvl w:val="0"/>
              <w:numId w:val="10"/>
            </w:numPr>
            <w:tabs>
              <w:tab w:val="clear" w:pos="708"/>
              <w:tab w:val="left" w:pos="0" w:leader="none"/>
              <w:tab w:val="left" w:pos="180" w:leader="none"/>
              <w:tab w:val="left" w:pos="360" w:leader="none"/>
            </w:tabs>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Реализация (активизация) мероприятий по передаче систем коммунальной инфраструктуры в долгосрочную концессию в целях привлечения внебюджетных источников финансирования (частных инвестиций, заемных средств).</w:t>
          </w:r>
        </w:p>
        <w:p>
          <w:pPr>
            <w:pStyle w:val="ListParagraph"/>
            <w:numPr>
              <w:ilvl w:val="0"/>
              <w:numId w:val="10"/>
            </w:numPr>
            <w:tabs>
              <w:tab w:val="clear" w:pos="708"/>
              <w:tab w:val="left" w:pos="0" w:leader="none"/>
              <w:tab w:val="left" w:pos="180" w:leader="none"/>
              <w:tab w:val="left" w:pos="360" w:leader="none"/>
            </w:tabs>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Разработка органами местного самоуправления с участием руководителей заинтересованных организаций сферы жилищно-коммунального хозяйства, территориальных служб судебных приставов и мировых судей конструктивных мер для сокращения и ликвидации просроченной дебиторской задолженности ресурсоснабжающих организаций.</w:t>
          </w:r>
        </w:p>
        <w:p>
          <w:pPr>
            <w:pStyle w:val="ListParagraph"/>
            <w:spacing w:lineRule="auto" w:line="240" w:before="0" w:after="0"/>
            <w:ind w:left="0" w:firstLine="567"/>
            <w:contextualSpacing/>
            <w:jc w:val="center"/>
            <w:rPr>
              <w:rFonts w:ascii="Times New Roman" w:hAnsi="Times New Roman"/>
              <w:b/>
              <w:b/>
              <w:sz w:val="28"/>
              <w:szCs w:val="28"/>
            </w:rPr>
          </w:pPr>
          <w:r>
            <w:rPr>
              <w:rFonts w:ascii="Times New Roman" w:hAnsi="Times New Roman"/>
              <w:b/>
              <w:sz w:val="28"/>
              <w:szCs w:val="28"/>
            </w:rPr>
          </w:r>
        </w:p>
        <w:p>
          <w:pPr>
            <w:pStyle w:val="ListParagraph"/>
            <w:spacing w:lineRule="auto" w:line="240" w:before="0" w:after="0"/>
            <w:ind w:left="709" w:hanging="0"/>
            <w:contextualSpacing/>
            <w:jc w:val="center"/>
            <w:rPr>
              <w:rFonts w:ascii="Times New Roman" w:hAnsi="Times New Roman"/>
              <w:b/>
              <w:b/>
              <w:sz w:val="28"/>
              <w:szCs w:val="28"/>
            </w:rPr>
          </w:pPr>
          <w:r>
            <w:rPr>
              <w:rFonts w:ascii="Times New Roman" w:hAnsi="Times New Roman"/>
              <w:b/>
              <w:sz w:val="28"/>
              <w:szCs w:val="28"/>
            </w:rPr>
            <w:t>ОРГАНИЗАЦИЯ МУНИЦИПАЛЬНОГО УПРАВЛЕНИЯ</w:t>
          </w:r>
        </w:p>
        <w:p>
          <w:pPr>
            <w:pStyle w:val="Normal"/>
            <w:rPr>
              <w:b/>
              <w:b/>
              <w:spacing w:val="-10"/>
              <w:lang w:eastAsia="en-US"/>
            </w:rPr>
          </w:pPr>
          <w:r>
            <w:rPr>
              <w:b/>
              <w:spacing w:val="-10"/>
              <w:lang w:eastAsia="en-US"/>
            </w:rPr>
          </w:r>
        </w:p>
        <w:p>
          <w:pPr>
            <w:pStyle w:val="ListParagraph"/>
            <w:numPr>
              <w:ilvl w:val="0"/>
              <w:numId w:val="4"/>
            </w:numPr>
            <w:spacing w:lineRule="auto" w:line="240" w:before="0" w:after="0"/>
            <w:ind w:left="0" w:firstLine="709"/>
            <w:contextualSpacing/>
            <w:jc w:val="both"/>
            <w:rPr>
              <w:rFonts w:ascii="Times New Roman" w:hAnsi="Times New Roman" w:eastAsia="Times New Roman"/>
              <w:b/>
              <w:b/>
              <w:sz w:val="28"/>
              <w:szCs w:val="28"/>
              <w:lang w:eastAsia="ru-RU"/>
            </w:rPr>
          </w:pPr>
          <w:r>
            <w:rPr>
              <w:rFonts w:eastAsia="Times New Roman" w:ascii="Times New Roman" w:hAnsi="Times New Roman"/>
              <w:b/>
              <w:sz w:val="28"/>
              <w:szCs w:val="28"/>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доходов бюджета муниципального образования (без учета субвенций)</w:t>
          </w:r>
        </w:p>
        <w:p>
          <w:pPr>
            <w:pStyle w:val="Normal"/>
            <w:ind w:firstLine="709"/>
            <w:jc w:val="both"/>
            <w:rPr/>
          </w:pPr>
          <w:r>
            <w:rPr/>
            <w:t xml:space="preserve">Доля налоговых и неналоговых доходов местных бюджетов в общей сумме собственных доходов в 2019 году в целом по области составила 25,48 процента, что на 0,26 процентных пункта ниже уровня 2018 года. Основной причиной снижения показателя является опережающий рост безвозмездных поступлений (без учета субвенций) (далее – безвозмездные поступления). </w:t>
          </w:r>
        </w:p>
        <w:p>
          <w:pPr>
            <w:pStyle w:val="Normal"/>
            <w:ind w:firstLine="709"/>
            <w:jc w:val="both"/>
            <w:rPr/>
          </w:pPr>
          <w:r>
            <w:rPr/>
            <w:t xml:space="preserve">По группе «Городские округа» в результате опережающего роста безвозмездных поступлений отрицательная динамика показателя сложилась в городских округах Брянск, Клинцы, Новозыбков, Сельцо и Стародуб. Самое высокое значение показателя, несмотря на отрицательную динамику, у городского округа Клинцы (37,9 процента), самое низкое - у городского округа Новозыбков (28,5 процента). </w:t>
          </w:r>
        </w:p>
        <w:p>
          <w:pPr>
            <w:pStyle w:val="Normal"/>
            <w:ind w:firstLine="709"/>
            <w:jc w:val="both"/>
            <w:rPr/>
          </w:pPr>
          <w:r>
            <w:rPr/>
            <w:t xml:space="preserve">По группе «Муниципальные районы» наивысшее значение показателя в Погарском муниципальном районе(47 процентов). Значение показателя выше среднего по группе (23,59 процента) в Выгоничском, Карачевском, Севском и Навлинском муниципальных районах.  </w:t>
          </w:r>
        </w:p>
        <w:p>
          <w:pPr>
            <w:pStyle w:val="Normal"/>
            <w:ind w:firstLine="709"/>
            <w:jc w:val="both"/>
            <w:rPr>
              <w:bCs/>
            </w:rPr>
          </w:pPr>
          <w:r>
            <w:rPr>
              <w:bCs/>
            </w:rPr>
          </w:r>
        </w:p>
        <w:p>
          <w:pPr>
            <w:pStyle w:val="Normal"/>
            <w:ind w:firstLine="709"/>
            <w:jc w:val="both"/>
            <w:rPr>
              <w:b/>
              <w:b/>
            </w:rPr>
          </w:pPr>
          <w:r>
            <w:rPr>
              <w:b/>
            </w:rPr>
            <w:t>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r>
            <w:rPr>
              <w:rStyle w:val="FootnoteCharacters"/>
              <w:b/>
              <w:color w:val="FFFFFF" w:themeColor="background1"/>
            </w:rPr>
            <w:t xml:space="preserve"> </w:t>
          </w:r>
        </w:p>
        <w:p>
          <w:pPr>
            <w:pStyle w:val="Normal"/>
            <w:ind w:firstLine="709"/>
            <w:jc w:val="both"/>
            <w:rPr/>
          </w:pPr>
          <w:r>
            <w:rPr/>
            <w:t>За счет осуществления контроля органами местного самоуправления за отсутствием просроченной кредиторской задолженности, а также четко выстроенных приоритетов финансирования,  кредиторская задолженность по оплате труда (включая начисления на оплату труда) муниципальных учреждений отсутствует.</w:t>
          </w:r>
        </w:p>
        <w:p>
          <w:pPr>
            <w:pStyle w:val="Normal"/>
            <w:ind w:firstLine="709"/>
            <w:rPr/>
          </w:pPr>
          <w:r>
            <w:rPr/>
          </w:r>
        </w:p>
        <w:p>
          <w:pPr>
            <w:pStyle w:val="Normal"/>
            <w:ind w:firstLine="709"/>
            <w:jc w:val="both"/>
            <w:rPr/>
          </w:pPr>
          <w:r>
            <w:rPr>
              <w:b/>
            </w:rPr>
            <w:t>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pPr>
            <w:pStyle w:val="Normal"/>
            <w:ind w:firstLine="709"/>
            <w:jc w:val="both"/>
            <w:rPr/>
          </w:pPr>
          <w:r>
            <w:rPr/>
            <w:t>Среднее значение показателя по Брянской области составляет 1355,92 рубля на одного жителя (увеличение на 12,87 процентных пункта). Это связано с увеличением минимального размера оплаты труда в соответствии с Федеральными законами от 19.12.2016 № 460-ФЗ «О внесении изменения в статью 1 Федерального закона «О минимальном размере оплаты труда», от 28.12.2017 № 421-ФЗ «О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 от 07.03.2018 № 41-ФЗ «О внесении изменения в статью 1 Федерального закона «О минимальном размере оплаты труда» с 1 июля 2017 года до 7800 руб. в месяц, с 1 января 2018 года до 9489 руб. в месяц и с 1 мая 2018 года до 11163 руб. в месяц, в связи с реорганизацией органов местного самоуправления, изменением их структур, а также снижением численности постоянного населения Брянской области.</w:t>
          </w:r>
        </w:p>
        <w:p>
          <w:pPr>
            <w:pStyle w:val="Normal"/>
            <w:ind w:firstLine="709"/>
            <w:jc w:val="both"/>
            <w:rPr/>
          </w:pPr>
          <w:r>
            <w:rPr/>
            <w:t>Показатели ниже среднего значения по Брянской области отмечены в городских округах Клинцы (674 руб. на 1 жителя), Брянск (756,8 руб. на 1 жителя), Новозыбков (978,7 руб. на 1 жителя) и Унечском (766 руб. на 1 жителя), Дятьковском (857 руб. на 1 жителя), Жуковском (874 руб. на 1 жителя) муниципальном районе , что свидетельствует об эффективности расходов на содержание работников органов местного самоуправления.</w:t>
          </w:r>
        </w:p>
        <w:p>
          <w:pPr>
            <w:pStyle w:val="Normal"/>
            <w:ind w:firstLine="709"/>
            <w:jc w:val="both"/>
            <w:rPr/>
          </w:pPr>
          <w:r>
            <w:rPr/>
          </w:r>
        </w:p>
        <w:p>
          <w:pPr>
            <w:pStyle w:val="Normal"/>
            <w:ind w:firstLine="709"/>
            <w:jc w:val="both"/>
            <w:rPr>
              <w:b/>
              <w:b/>
              <w:color w:val="000000"/>
              <w:u w:val="single"/>
            </w:rPr>
          </w:pPr>
          <w:r>
            <w:rPr>
              <w:b/>
              <w:color w:val="000000"/>
            </w:rPr>
            <w:t>36.</w:t>
          </w:r>
          <w:r>
            <w:rPr>
              <w:b/>
            </w:rPr>
            <w:t xml:space="preserve">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r>
            <w:rPr>
              <w:rStyle w:val="FootnoteCharacters"/>
              <w:b/>
              <w:color w:val="FFFFFF" w:themeColor="background1"/>
            </w:rPr>
            <w:t xml:space="preserve"> </w:t>
          </w:r>
        </w:p>
        <w:p>
          <w:pPr>
            <w:pStyle w:val="Normal"/>
            <w:ind w:firstLine="709"/>
            <w:jc w:val="both"/>
            <w:rPr/>
          </w:pPr>
          <w:r>
            <w:rPr/>
            <w:t>По состоянию на 31.12.2019 документы территориального планирования  утверждены всеми городскими округами и муниципальными районами Брянской области.</w:t>
          </w:r>
        </w:p>
        <w:p>
          <w:pPr>
            <w:pStyle w:val="Normal"/>
            <w:ind w:firstLine="709"/>
            <w:jc w:val="both"/>
            <w:rPr>
              <w:color w:val="FF0000"/>
            </w:rPr>
          </w:pPr>
          <w:r>
            <w:rPr>
              <w:color w:val="FF0000"/>
            </w:rPr>
          </w:r>
        </w:p>
        <w:p>
          <w:pPr>
            <w:pStyle w:val="Normal"/>
            <w:ind w:firstLine="709"/>
            <w:jc w:val="both"/>
            <w:rPr>
              <w:b/>
              <w:b/>
            </w:rPr>
          </w:pPr>
          <w:r>
            <w:rPr>
              <w:b/>
            </w:rPr>
            <w:t>37. Удовлетворенность населения деятельностью органов местного самоуправления городского округа (муниципального района) (процент от числа опрошенных)</w:t>
          </w:r>
          <w:r>
            <w:rPr>
              <w:rStyle w:val="FootnoteCharacters"/>
              <w:b/>
              <w:color w:val="FFFFFF" w:themeColor="background1"/>
            </w:rPr>
            <w:t xml:space="preserve"> </w:t>
          </w:r>
        </w:p>
        <w:p>
          <w:pPr>
            <w:pStyle w:val="Normal"/>
            <w:ind w:firstLine="709"/>
            <w:jc w:val="both"/>
            <w:rPr>
              <w:color w:val="7153A0" w:themeColor="accent5" w:themeShade="bf"/>
            </w:rPr>
          </w:pPr>
          <w:r>
            <w:rPr/>
            <w:t xml:space="preserve">Значение показателя определено на основе результатов опроса населения с применением </w:t>
          </w:r>
          <w:r>
            <w:rPr>
              <w:lang w:val="en-US"/>
            </w:rPr>
            <w:t>IT</w:t>
          </w:r>
          <w:r>
            <w:rPr/>
            <w:t>-технологий. В 2019 году в опросе приняли участие 5374 человека (в 2018 – 1788 человек).</w:t>
          </w:r>
          <w:r>
            <w:rPr>
              <w:color w:val="7153A0" w:themeColor="accent5" w:themeShade="bf"/>
            </w:rPr>
            <w:t xml:space="preserve"> </w:t>
          </w:r>
        </w:p>
        <w:p>
          <w:pPr>
            <w:pStyle w:val="Normal"/>
            <w:ind w:firstLine="709"/>
            <w:rPr/>
          </w:pPr>
          <w:r>
            <w:rPr/>
            <w:t xml:space="preserve">Наибольшее количество участников опроса отмечено в городском округе Брянск (1452 человека), Клинцовском (687 человек) и Новозыбковском (404 человека). </w:t>
          </w:r>
        </w:p>
        <w:p>
          <w:pPr>
            <w:pStyle w:val="Normal"/>
            <w:ind w:firstLine="709"/>
            <w:rPr/>
          </w:pPr>
          <w:r>
            <w:rPr/>
            <w:t>Менее 20 человек приняли участие в опросе в Рогнединском (15) муниципальном районе.</w:t>
          </w:r>
        </w:p>
        <w:p>
          <w:pPr>
            <w:pStyle w:val="Normal"/>
            <w:ind w:firstLine="709"/>
            <w:rPr/>
          </w:pPr>
          <w:r>
            <w:rPr/>
            <w:t>Опрос проводился по следующим критериям:</w:t>
          </w:r>
        </w:p>
        <w:p>
          <w:pPr>
            <w:pStyle w:val="Normal"/>
            <w:ind w:firstLine="709"/>
            <w:jc w:val="both"/>
            <w:rPr/>
          </w:pPr>
          <w:r>
            <w:rPr/>
            <w:t>удовлетворенность населения организацией транспортного обслуживания в муниципальном образовании.</w:t>
          </w:r>
        </w:p>
        <w:p>
          <w:pPr>
            <w:pStyle w:val="Normal"/>
            <w:ind w:firstLine="709"/>
            <w:jc w:val="both"/>
            <w:rPr/>
          </w:pPr>
          <w:r>
            <w:rPr/>
            <w:t>удовлетворенность населения качеством автомобильных дорог в муниципальном образовании.</w:t>
          </w:r>
        </w:p>
        <w:p>
          <w:pPr>
            <w:pStyle w:val="Normal"/>
            <w:ind w:firstLine="709"/>
            <w:jc w:val="both"/>
            <w:rPr/>
          </w:pPr>
          <w:r>
            <w:rP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w:t>
          </w:r>
        </w:p>
        <w:p>
          <w:pPr>
            <w:pStyle w:val="Normal"/>
            <w:ind w:firstLine="709"/>
            <w:jc w:val="both"/>
            <w:rPr/>
          </w:pPr>
          <w:r>
            <w:rPr/>
            <w:t>Итоговый показатель удовлетворенности населения деятельностью органов местного самоуправления определялся как среднеарифметическое значение показателей удовлетворенности населения по критериям оценки.</w:t>
          </w:r>
        </w:p>
        <w:p>
          <w:pPr>
            <w:pStyle w:val="Normal"/>
            <w:ind w:firstLine="709"/>
            <w:jc w:val="both"/>
            <w:rPr/>
          </w:pPr>
          <w:r>
            <w:rPr/>
            <w:t>В среднем по области значение показателя по сравнению с 2018 годом незначительно увеличилось и составило 81,78% (в 2018 – 81,47%).</w:t>
          </w:r>
        </w:p>
        <w:p>
          <w:pPr>
            <w:pStyle w:val="Normal"/>
            <w:ind w:firstLine="709"/>
            <w:jc w:val="both"/>
            <w:rPr/>
          </w:pPr>
          <w:r>
            <w:rPr/>
            <w:t>Наиболее высокий уровень удовлетворенности жителей отмечен в Суземском (98,34%), Брасовском (94,52%) районах и городском округе Стародуб (90,9%).</w:t>
          </w:r>
        </w:p>
        <w:p>
          <w:pPr>
            <w:pStyle w:val="Normal"/>
            <w:ind w:firstLine="709"/>
            <w:jc w:val="both"/>
            <w:rPr/>
          </w:pPr>
          <w:r>
            <w:rPr/>
            <w:t xml:space="preserve">Наиболее низкие показатели в районах: Клинцовском (74,31%), Климовском (74,77%), Жирятинском (78,99%). </w:t>
          </w:r>
        </w:p>
        <w:p>
          <w:pPr>
            <w:pStyle w:val="Normal"/>
            <w:ind w:firstLine="709"/>
            <w:jc w:val="both"/>
            <w:rPr/>
          </w:pPr>
          <w:r>
            <w:rPr/>
          </w:r>
        </w:p>
        <w:p>
          <w:pPr>
            <w:pStyle w:val="Normal"/>
            <w:ind w:firstLine="709"/>
            <w:jc w:val="both"/>
            <w:rPr>
              <w:b/>
              <w:b/>
            </w:rPr>
          </w:pPr>
          <w:r>
            <w:rPr>
              <w:b/>
            </w:rPr>
            <w:t>38. Среднегодовая численность постоянного населения (тыс. человек)</w:t>
          </w:r>
          <w:r>
            <w:rPr>
              <w:rStyle w:val="FootnoteCharacters"/>
              <w:b/>
              <w:color w:val="FFFFFF" w:themeColor="background1"/>
            </w:rPr>
            <w:t xml:space="preserve"> </w:t>
          </w:r>
        </w:p>
        <w:p>
          <w:pPr>
            <w:pStyle w:val="Normal"/>
            <w:ind w:firstLine="709"/>
            <w:jc w:val="both"/>
            <w:rPr/>
          </w:pPr>
          <w:r>
            <w:rPr/>
            <w:t>В 2019 году среднегодовая численность населения Брянской области составила 1196339 человек, продолжилась тенденция сокращения численности населения (в 2018 году – 1205584 человека). По всем остальным муниципальным образованиям произошло сокращение численности населения.</w:t>
          </w:r>
        </w:p>
        <w:p>
          <w:pPr>
            <w:pStyle w:val="Normal"/>
            <w:ind w:firstLine="709"/>
            <w:jc w:val="both"/>
            <w:rPr/>
          </w:pPr>
          <w:r>
            <w:rPr/>
            <w:t>Наибольшее снижение показателя зафиксировано:</w:t>
          </w:r>
        </w:p>
        <w:p>
          <w:pPr>
            <w:pStyle w:val="Normal"/>
            <w:ind w:firstLine="709"/>
            <w:jc w:val="both"/>
            <w:rPr/>
          </w:pPr>
          <w:r>
            <w:rPr/>
            <w:t>- в группе городских округов – в городском округе Сельцо (на 8,72 п.п.);</w:t>
          </w:r>
        </w:p>
        <w:p>
          <w:pPr>
            <w:pStyle w:val="Normal"/>
            <w:ind w:firstLine="709"/>
            <w:jc w:val="both"/>
            <w:rPr/>
          </w:pPr>
          <w:r>
            <w:rPr/>
            <w:t>- в группе муниципальных районов – в Жирятинском муниципальном районе (на 11,31 п.п.);</w:t>
          </w:r>
        </w:p>
        <w:p>
          <w:pPr>
            <w:pStyle w:val="Normal"/>
            <w:ind w:firstLine="709"/>
            <w:jc w:val="both"/>
            <w:rPr/>
          </w:pPr>
          <w:r>
            <w:rPr/>
          </w:r>
        </w:p>
        <w:p>
          <w:pPr>
            <w:pStyle w:val="Normal"/>
            <w:jc w:val="center"/>
            <w:rPr>
              <w:u w:val="single"/>
            </w:rPr>
          </w:pPr>
          <w:r>
            <w:rPr>
              <w:u w:val="single"/>
            </w:rPr>
            <w:t>Зоны, требующие приоритетного внимания органов местного самоуправления городских округов и муниципальных районов в сфере «Муниципальное управление»</w:t>
          </w:r>
        </w:p>
        <w:p>
          <w:pPr>
            <w:pStyle w:val="ListParagraph"/>
            <w:numPr>
              <w:ilvl w:val="0"/>
              <w:numId w:val="11"/>
            </w:numPr>
            <w:spacing w:lineRule="auto" w:line="240" w:before="0" w:after="0"/>
            <w:ind w:left="0"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Увеличение налоговой базы, сокращение объема недоимки по налогам и сборам, повышение эффективности администрирования неналоговых доходов.</w:t>
          </w:r>
        </w:p>
        <w:p>
          <w:pPr>
            <w:pStyle w:val="ListParagraph"/>
            <w:numPr>
              <w:ilvl w:val="0"/>
              <w:numId w:val="11"/>
            </w:numPr>
            <w:spacing w:lineRule="auto" w:line="240" w:before="0" w:after="0"/>
            <w:ind w:left="0"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Усиление работы по проведению мероприятий по оптимизации расходов на содержание работников органов местного самоуправления, включая оптимизацию численности работников органов местного самоуправления и их структур.</w:t>
          </w:r>
        </w:p>
        <w:p>
          <w:pPr>
            <w:pStyle w:val="ListParagraph"/>
            <w:numPr>
              <w:ilvl w:val="0"/>
              <w:numId w:val="11"/>
            </w:numPr>
            <w:spacing w:lineRule="auto" w:line="240" w:before="0" w:after="0"/>
            <w:ind w:left="0"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Участие в заявочных кампаниях по включению объекта в государственные программы. </w:t>
          </w:r>
        </w:p>
        <w:p>
          <w:pPr>
            <w:pStyle w:val="ListParagraph"/>
            <w:numPr>
              <w:ilvl w:val="0"/>
              <w:numId w:val="11"/>
            </w:numPr>
            <w:spacing w:lineRule="auto" w:line="240" w:before="0" w:after="0"/>
            <w:ind w:left="0"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Проработка вопроса финансирования объекта из внебюджетных источников. </w:t>
          </w:r>
        </w:p>
        <w:p>
          <w:pPr>
            <w:pStyle w:val="ListParagraph"/>
            <w:numPr>
              <w:ilvl w:val="0"/>
              <w:numId w:val="11"/>
            </w:numPr>
            <w:spacing w:lineRule="auto" w:line="240" w:before="0" w:after="0"/>
            <w:ind w:left="0"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Принятие мер, направленных на сокращение объемов незавершенного в установленные сроки строительства.</w:t>
          </w:r>
        </w:p>
        <w:p>
          <w:pPr>
            <w:pStyle w:val="ListParagraph"/>
            <w:numPr>
              <w:ilvl w:val="0"/>
              <w:numId w:val="11"/>
            </w:numPr>
            <w:spacing w:lineRule="auto" w:line="240" w:before="0" w:after="0"/>
            <w:ind w:left="0" w:firstLine="709"/>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Наличие у предприятий муниципальной формы собственности значительной кредиторской задолженности, необходимость осуществления контроля за их деятельностью и создание благоприятной конкурентной среды в сферах, где осуществляют деятельность предприятия муниципальной формы собственности.</w:t>
          </w:r>
        </w:p>
        <w:p>
          <w:pPr>
            <w:pStyle w:val="Normal"/>
            <w:jc w:val="both"/>
            <w:rPr/>
          </w:pPr>
          <w:r>
            <w:rPr/>
          </w:r>
        </w:p>
        <w:p>
          <w:pPr>
            <w:pStyle w:val="Normal"/>
            <w:jc w:val="center"/>
            <w:rPr/>
          </w:pPr>
          <w:r>
            <w:rPr>
              <w:u w:val="single"/>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«Муниципальное управление»</w:t>
          </w:r>
        </w:p>
        <w:p>
          <w:pPr>
            <w:pStyle w:val="Normal"/>
            <w:numPr>
              <w:ilvl w:val="0"/>
              <w:numId w:val="13"/>
            </w:numPr>
            <w:ind w:left="0" w:firstLine="709"/>
            <w:jc w:val="both"/>
            <w:rPr/>
          </w:pPr>
          <w:r>
            <w:rPr/>
            <w:t>Активизация мероприятий по проведению комплексных кадастровых работ.</w:t>
          </w:r>
        </w:p>
        <w:p>
          <w:pPr>
            <w:pStyle w:val="Normal"/>
            <w:numPr>
              <w:ilvl w:val="0"/>
              <w:numId w:val="13"/>
            </w:numPr>
            <w:ind w:left="0" w:firstLine="709"/>
            <w:jc w:val="both"/>
            <w:rPr/>
          </w:pPr>
          <w:r>
            <w:rPr/>
            <w:t>Повышение эффективности работы межведомственных комиссий по работе с налогоплательщиками по погашению задолженности по налогам и сборам в бюджеты муниципальных образований и комиссий (рабочих групп) по легализации "теневой" заработной платы и снижению неформальной занятости.</w:t>
          </w:r>
        </w:p>
        <w:p>
          <w:pPr>
            <w:pStyle w:val="Normal"/>
            <w:numPr>
              <w:ilvl w:val="0"/>
              <w:numId w:val="13"/>
            </w:numPr>
            <w:ind w:left="0" w:firstLine="709"/>
            <w:jc w:val="both"/>
            <w:rPr/>
          </w:pPr>
          <w:r>
            <w:rPr/>
            <w:t>Создание (развитие) эффективной обратной связи с гражданами, индивидуальными предпринимателями и организациями по вопросам уплаты налогов и сборов, легализации трудовых отношений.</w:t>
          </w:r>
        </w:p>
        <w:p>
          <w:pPr>
            <w:pStyle w:val="Normal"/>
            <w:numPr>
              <w:ilvl w:val="0"/>
              <w:numId w:val="13"/>
            </w:numPr>
            <w:ind w:left="0" w:firstLine="709"/>
            <w:jc w:val="both"/>
            <w:rPr/>
          </w:pPr>
          <w:r>
            <w:rPr/>
            <w:t xml:space="preserve">Своевременное принятие мер по недопущению вывода имущества в процедуру конкурсного производства, а также возникновения кредиторской задолженности. </w:t>
          </w:r>
        </w:p>
        <w:p>
          <w:pPr>
            <w:pStyle w:val="Normal"/>
            <w:numPr>
              <w:ilvl w:val="0"/>
              <w:numId w:val="13"/>
            </w:numPr>
            <w:ind w:left="0" w:firstLine="709"/>
            <w:jc w:val="both"/>
            <w:rPr/>
          </w:pPr>
          <w:r>
            <w:rPr/>
            <w:t>Обеспечение роста налоговой базы по земельному налогу и налогу на имущество физических лиц на территории городских округов за счет выявления объектов, не вовлеченных в налогообложение.</w:t>
          </w:r>
        </w:p>
        <w:p>
          <w:pPr>
            <w:pStyle w:val="Normal"/>
            <w:numPr>
              <w:ilvl w:val="0"/>
              <w:numId w:val="13"/>
            </w:numPr>
            <w:ind w:left="0" w:firstLine="709"/>
            <w:jc w:val="both"/>
            <w:rPr/>
          </w:pPr>
          <w:r>
            <w:rPr/>
            <w:t>Организация работы, направленной на снижение дебиторской задолженности по неналоговым доходам в местные бюджеты.</w:t>
          </w:r>
        </w:p>
        <w:p>
          <w:pPr>
            <w:pStyle w:val="Normal"/>
            <w:numPr>
              <w:ilvl w:val="0"/>
              <w:numId w:val="13"/>
            </w:numPr>
            <w:ind w:left="0" w:firstLine="709"/>
            <w:jc w:val="both"/>
            <w:rPr/>
          </w:pPr>
          <w:r>
            <w:rPr/>
            <w:t>Улучшение качества администрирования неналоговых доходов местных бюджетов, в том числе доведение до плательщиков правильных реквизитов для перечисления платежей в бюджет, оперативное уточнение невыясненных поступлений.</w:t>
          </w:r>
        </w:p>
        <w:p>
          <w:pPr>
            <w:pStyle w:val="Normal"/>
            <w:numPr>
              <w:ilvl w:val="0"/>
              <w:numId w:val="13"/>
            </w:numPr>
            <w:tabs>
              <w:tab w:val="clear" w:pos="708"/>
              <w:tab w:val="left" w:pos="142" w:leader="none"/>
            </w:tabs>
            <w:ind w:left="0" w:firstLine="709"/>
            <w:jc w:val="both"/>
            <w:rPr/>
          </w:pPr>
          <w:r>
            <w:rPr/>
            <w:t>Повышение эффективности работы межведомственных комиссий по работе с налогоплательщиками по погашению задолженности по налогам и сборам в бюджеты муниципальных образований и комиссий (рабочих групп) по легализации «теневой» заработной платы и снижению неформальной занятости.</w:t>
          </w:r>
        </w:p>
        <w:p>
          <w:pPr>
            <w:pStyle w:val="Normal"/>
            <w:numPr>
              <w:ilvl w:val="0"/>
              <w:numId w:val="13"/>
            </w:numPr>
            <w:tabs>
              <w:tab w:val="clear" w:pos="708"/>
              <w:tab w:val="left" w:pos="142" w:leader="none"/>
            </w:tabs>
            <w:ind w:left="0" w:firstLine="709"/>
            <w:jc w:val="both"/>
            <w:rPr/>
          </w:pPr>
          <w:r>
            <w:rPr/>
            <w:t>Усиление контроля за строительством объектов, работы на которых осуществляются за счет бюджетных средств.</w:t>
          </w:r>
        </w:p>
        <w:p>
          <w:pPr>
            <w:pStyle w:val="Normal"/>
            <w:numPr>
              <w:ilvl w:val="0"/>
              <w:numId w:val="13"/>
            </w:numPr>
            <w:tabs>
              <w:tab w:val="clear" w:pos="708"/>
              <w:tab w:val="left" w:pos="142" w:leader="none"/>
            </w:tabs>
            <w:ind w:left="0" w:firstLine="709"/>
            <w:jc w:val="both"/>
            <w:rPr/>
          </w:pPr>
          <w:r>
            <w:rPr>
              <w:bCs/>
            </w:rPr>
            <w:t>Повышение профессиональной грамотности специалистов, выполняющих функции муниципального заказчика по объектам капитального строительства.</w:t>
          </w:r>
        </w:p>
        <w:p>
          <w:pPr>
            <w:pStyle w:val="Normal"/>
            <w:numPr>
              <w:ilvl w:val="0"/>
              <w:numId w:val="13"/>
            </w:numPr>
            <w:tabs>
              <w:tab w:val="clear" w:pos="708"/>
              <w:tab w:val="left" w:pos="142" w:leader="none"/>
            </w:tabs>
            <w:ind w:left="0" w:firstLine="709"/>
            <w:jc w:val="both"/>
            <w:rPr>
              <w:bCs/>
            </w:rPr>
          </w:pPr>
          <w:r>
            <w:rPr>
              <w:bCs/>
            </w:rPr>
            <w:t>Ориентация расходной части бюджета в первую очередь на завершение начатого строительства, проведение работы по изысканию дополнительных источников финансирования строительной отрасли, в том числе за счет внебюджетных средств.</w:t>
          </w:r>
        </w:p>
        <w:p>
          <w:pPr>
            <w:pStyle w:val="Normal"/>
            <w:numPr>
              <w:ilvl w:val="0"/>
              <w:numId w:val="13"/>
            </w:numPr>
            <w:tabs>
              <w:tab w:val="clear" w:pos="708"/>
              <w:tab w:val="left" w:pos="142" w:leader="none"/>
            </w:tabs>
            <w:ind w:left="0" w:firstLine="709"/>
            <w:jc w:val="both"/>
            <w:rPr>
              <w:bCs/>
            </w:rPr>
          </w:pPr>
          <w:r>
            <w:rPr>
              <w:bCs/>
            </w:rPr>
            <w:t>Применения экономически-эффективной проектной документации повторного использования.</w:t>
          </w:r>
        </w:p>
        <w:p>
          <w:pPr>
            <w:pStyle w:val="Normal"/>
            <w:numPr>
              <w:ilvl w:val="0"/>
              <w:numId w:val="13"/>
            </w:numPr>
            <w:tabs>
              <w:tab w:val="clear" w:pos="708"/>
              <w:tab w:val="left" w:pos="142" w:leader="none"/>
            </w:tabs>
            <w:ind w:left="0" w:firstLine="709"/>
            <w:jc w:val="both"/>
            <w:rPr>
              <w:bCs/>
            </w:rPr>
          </w:pPr>
          <w:r>
            <w:rPr>
              <w:bCs/>
            </w:rPr>
            <w:t>Осуществление ежемесячного контроля за соблюдением нормативов формирования расходов на содержание органов местного самоуправления городских округов и муниципальных районов и предельной численностью депутатов, выборных должностных лиц местного самоуправления, осуществляющих свои полномочия на постоянной основе, муниципальных служащих.</w:t>
          </w:r>
        </w:p>
        <w:p>
          <w:pPr>
            <w:pStyle w:val="Normal"/>
            <w:numPr>
              <w:ilvl w:val="0"/>
              <w:numId w:val="13"/>
            </w:numPr>
            <w:tabs>
              <w:tab w:val="clear" w:pos="708"/>
              <w:tab w:val="left" w:pos="142" w:leader="none"/>
            </w:tabs>
            <w:ind w:left="0" w:firstLine="709"/>
            <w:jc w:val="both"/>
            <w:rPr/>
          </w:pPr>
          <w:r>
            <w:rPr>
              <w:bCs/>
            </w:rPr>
            <w:t>Проведение мероприятий по оптимизации расходов на содержание органов местного самоуправления,</w:t>
          </w:r>
          <w:r>
            <w:rPr/>
            <w:t xml:space="preserve"> численности работников органов местного самоуправления и их структур.</w:t>
          </w:r>
        </w:p>
        <w:p>
          <w:pPr>
            <w:pStyle w:val="Normal"/>
            <w:numPr>
              <w:ilvl w:val="0"/>
              <w:numId w:val="13"/>
            </w:numPr>
            <w:tabs>
              <w:tab w:val="clear" w:pos="708"/>
              <w:tab w:val="left" w:pos="142" w:leader="none"/>
            </w:tabs>
            <w:ind w:left="0" w:firstLine="709"/>
            <w:jc w:val="both"/>
            <w:rPr>
              <w:bCs/>
            </w:rPr>
          </w:pPr>
          <w:r>
            <w:rPr>
              <w:bCs/>
            </w:rPr>
            <w:t>Повышение уровня стратегического планирования.</w:t>
          </w:r>
        </w:p>
        <w:p>
          <w:pPr>
            <w:pStyle w:val="Normal"/>
            <w:numPr>
              <w:ilvl w:val="0"/>
              <w:numId w:val="13"/>
            </w:numPr>
            <w:tabs>
              <w:tab w:val="clear" w:pos="708"/>
              <w:tab w:val="left" w:pos="142" w:leader="none"/>
            </w:tabs>
            <w:ind w:left="0" w:firstLine="709"/>
            <w:jc w:val="both"/>
            <w:rPr>
              <w:bCs/>
            </w:rPr>
          </w:pPr>
          <w:r>
            <w:rPr>
              <w:bCs/>
            </w:rPr>
            <w:t>Информирование населения о проведении опроса с применением IT-технологий.</w:t>
          </w:r>
        </w:p>
        <w:p>
          <w:pPr>
            <w:pStyle w:val="Normal"/>
            <w:numPr>
              <w:ilvl w:val="0"/>
              <w:numId w:val="13"/>
            </w:numPr>
            <w:tabs>
              <w:tab w:val="clear" w:pos="708"/>
              <w:tab w:val="left" w:pos="142" w:leader="none"/>
            </w:tabs>
            <w:ind w:left="0" w:firstLine="709"/>
            <w:jc w:val="both"/>
            <w:rPr>
              <w:bCs/>
            </w:rPr>
          </w:pPr>
          <w:r>
            <w:rPr>
              <w:bCs/>
            </w:rPr>
            <w:t>Участие в заявочных кампаниях по включению объектов в государственные программы.</w:t>
          </w:r>
        </w:p>
        <w:p>
          <w:pPr>
            <w:pStyle w:val="Normal"/>
            <w:numPr>
              <w:ilvl w:val="0"/>
              <w:numId w:val="13"/>
            </w:numPr>
            <w:tabs>
              <w:tab w:val="clear" w:pos="708"/>
              <w:tab w:val="left" w:pos="142" w:leader="none"/>
            </w:tabs>
            <w:ind w:left="0" w:firstLine="709"/>
            <w:jc w:val="both"/>
            <w:rPr/>
          </w:pPr>
          <w:r>
            <w:rPr>
              <w:bCs/>
            </w:rPr>
            <w:t>Принятие мер, направленных на сокращение объемов незавершенного в установленные сроки строительства.</w:t>
          </w:r>
        </w:p>
        <w:p>
          <w:pPr>
            <w:pStyle w:val="ListParagraph"/>
            <w:spacing w:lineRule="auto" w:line="240"/>
            <w:ind w:left="0" w:firstLine="709"/>
            <w:jc w:val="both"/>
            <w:rPr>
              <w:rFonts w:ascii="Times New Roman" w:hAnsi="Times New Roman"/>
              <w:sz w:val="28"/>
              <w:szCs w:val="28"/>
            </w:rPr>
          </w:pPr>
          <w:r>
            <w:rPr>
              <w:rFonts w:ascii="Times New Roman" w:hAnsi="Times New Roman"/>
              <w:sz w:val="28"/>
              <w:szCs w:val="28"/>
            </w:rPr>
          </w:r>
        </w:p>
        <w:p>
          <w:pPr>
            <w:pStyle w:val="ListParagraph"/>
            <w:spacing w:lineRule="auto" w:line="240" w:before="0" w:after="0"/>
            <w:contextualSpacing/>
            <w:jc w:val="center"/>
            <w:rPr>
              <w:rFonts w:ascii="Times New Roman" w:hAnsi="Times New Roman"/>
              <w:b/>
              <w:b/>
              <w:sz w:val="28"/>
              <w:szCs w:val="28"/>
            </w:rPr>
          </w:pPr>
          <w:r>
            <w:rPr>
              <w:rFonts w:ascii="Times New Roman" w:hAnsi="Times New Roman"/>
              <w:b/>
              <w:sz w:val="28"/>
              <w:szCs w:val="28"/>
            </w:rPr>
            <w:t>9. ЭНЕРГОСБЕРЕЖЕНИЕ И ПОВЫШЕНИЕ ЭНЕРГЕТИЧЕСКОЙ ЭФФЕКТИВНОСТИ</w:t>
          </w:r>
        </w:p>
        <w:p>
          <w:pPr>
            <w:pStyle w:val="Normal"/>
            <w:rPr/>
          </w:pPr>
          <w:r>
            <w:rPr/>
          </w:r>
        </w:p>
        <w:p>
          <w:pPr>
            <w:pStyle w:val="Normal"/>
            <w:spacing w:before="0" w:after="120"/>
            <w:ind w:firstLine="567"/>
            <w:jc w:val="both"/>
            <w:rPr>
              <w:b/>
              <w:b/>
            </w:rPr>
          </w:pPr>
          <w:r>
            <w:rPr>
              <w:b/>
              <w:spacing w:val="-4"/>
            </w:rPr>
            <w:t>39. Удельная величина потребления энергетических ресурсов в многоквартирных домах (электрическая и тепловая энергия, горячая и холодная вода, природный газ), (кВтч на 1 проживающего, Гкал на 1 кв. метр общей площади, куб. метров на 1 проживающего)</w:t>
          </w:r>
          <w:r>
            <w:rPr>
              <w:rStyle w:val="FootnoteCharacters"/>
              <w:b/>
              <w:color w:val="FFFFFF" w:themeColor="background1"/>
            </w:rPr>
            <w:t xml:space="preserve"> </w:t>
          </w:r>
        </w:p>
        <w:p>
          <w:pPr>
            <w:pStyle w:val="Normal"/>
            <w:ind w:firstLine="709"/>
            <w:jc w:val="both"/>
            <w:rPr/>
          </w:pPr>
          <w:r>
            <w:rPr/>
            <w:t>В целом в 2019 году отмечено продолжение тенденции к снижению удельной величины потребления тепловой энергии, горячей и холодной воды, природного газа, что связано с проведением мероприятий по дооснащению многоквартирных домов общедомовыми и индивидуальными приборами учета ресурсов, а также проведением ресурсоснабжающими организациями энергосберегающих мероприятий, которые позволили обеспечить сокращение расходов на оплату энергоресурсов, и способствовали снижению ненормативных потерь.</w:t>
          </w:r>
        </w:p>
        <w:p>
          <w:pPr>
            <w:pStyle w:val="Normal"/>
            <w:ind w:firstLine="709"/>
            <w:jc w:val="both"/>
            <w:rPr>
              <w:u w:val="single"/>
            </w:rPr>
          </w:pPr>
          <w:r>
            <w:rPr>
              <w:u w:val="single"/>
            </w:rPr>
          </w:r>
        </w:p>
        <w:p>
          <w:pPr>
            <w:pStyle w:val="Normal"/>
            <w:ind w:firstLine="709"/>
            <w:jc w:val="both"/>
            <w:rPr/>
          </w:pPr>
          <w:r>
            <w:rPr>
              <w:u w:val="single"/>
            </w:rPr>
            <w:t>Удельная величина потребления электрической энергии</w:t>
          </w:r>
          <w:r>
            <w:rPr/>
            <w:t xml:space="preserve"> в многоквартирных домах (на 1 проживающего)</w:t>
          </w:r>
        </w:p>
        <w:p>
          <w:pPr>
            <w:pStyle w:val="Normal"/>
            <w:tabs>
              <w:tab w:val="clear" w:pos="708"/>
              <w:tab w:val="left" w:pos="851" w:leader="none"/>
            </w:tabs>
            <w:ind w:firstLine="709"/>
            <w:jc w:val="both"/>
            <w:rPr/>
          </w:pPr>
          <w:r>
            <w:rPr/>
            <w:t xml:space="preserve">Снижение отмечено в городском округе Клинцы. Увеличение показателя отмечается в городских округах Брянск, Новозыбков и Сельцо. </w:t>
          </w:r>
        </w:p>
        <w:p>
          <w:pPr>
            <w:pStyle w:val="Normal"/>
            <w:tabs>
              <w:tab w:val="clear" w:pos="708"/>
              <w:tab w:val="left" w:pos="851" w:leader="none"/>
            </w:tabs>
            <w:ind w:firstLine="709"/>
            <w:jc w:val="both"/>
            <w:rPr/>
          </w:pPr>
          <w:r>
            <w:rPr/>
            <w:t>В муниципальных районах уменьшение показателя наблюдается в Выгоничском, Клинцовском, Суземском и Навлинском муниципальных районах. Увеличение показателя отмечается в Жуковском, Почепском, Унечском и Трубчевском муниципальном районе</w:t>
          </w:r>
        </w:p>
        <w:p>
          <w:pPr>
            <w:pStyle w:val="Normal"/>
            <w:tabs>
              <w:tab w:val="clear" w:pos="708"/>
              <w:tab w:val="left" w:pos="851" w:leader="none"/>
            </w:tabs>
            <w:ind w:firstLine="709"/>
            <w:jc w:val="both"/>
            <w:rPr>
              <w:u w:val="single"/>
            </w:rPr>
          </w:pPr>
          <w:r>
            <w:rPr>
              <w:u w:val="single"/>
            </w:rPr>
          </w:r>
        </w:p>
        <w:p>
          <w:pPr>
            <w:pStyle w:val="Normal"/>
            <w:tabs>
              <w:tab w:val="clear" w:pos="708"/>
              <w:tab w:val="left" w:pos="851" w:leader="none"/>
            </w:tabs>
            <w:ind w:firstLine="709"/>
            <w:jc w:val="both"/>
            <w:rPr>
              <w:u w:val="single"/>
            </w:rPr>
          </w:pPr>
          <w:r>
            <w:rPr>
              <w:u w:val="single"/>
            </w:rPr>
            <w:t>Удельная величина потребления тепловой энергии в многоквартирных домах</w:t>
          </w:r>
        </w:p>
        <w:p>
          <w:pPr>
            <w:pStyle w:val="Normal"/>
            <w:tabs>
              <w:tab w:val="clear" w:pos="708"/>
              <w:tab w:val="left" w:pos="851" w:leader="none"/>
            </w:tabs>
            <w:ind w:firstLine="709"/>
            <w:jc w:val="both"/>
            <w:rPr/>
          </w:pPr>
          <w:r>
            <w:rPr/>
            <w:t xml:space="preserve">Снижение удельной величины потребления тепловой энергии наблюдается в городском округе Клинцы, Стародуб и Фокино и муниципальных районах — Красногорском, Суземском и Трубчевском муниципальных районах. Снижение показателя обусловлено установкой общедомовых приборов учета потребления тепловой энергии. </w:t>
          </w:r>
        </w:p>
        <w:p>
          <w:pPr>
            <w:pStyle w:val="Normal"/>
            <w:tabs>
              <w:tab w:val="clear" w:pos="708"/>
              <w:tab w:val="left" w:pos="851" w:leader="none"/>
            </w:tabs>
            <w:ind w:firstLine="709"/>
            <w:jc w:val="both"/>
            <w:rPr/>
          </w:pPr>
          <w:r>
            <w:rPr/>
            <w:t xml:space="preserve">Возрастание потребления тепловой энергии наблюдается в городских округах Брянск и Сельцо, в муниципальных районах - в Жуковском муниципальном районе. </w:t>
          </w:r>
        </w:p>
        <w:p>
          <w:pPr>
            <w:pStyle w:val="Normal"/>
            <w:tabs>
              <w:tab w:val="clear" w:pos="708"/>
              <w:tab w:val="left" w:pos="851" w:leader="none"/>
            </w:tabs>
            <w:ind w:firstLine="709"/>
            <w:jc w:val="both"/>
            <w:rPr/>
          </w:pPr>
          <w:r>
            <w:rPr/>
            <w:t>Остались на уровне 2018 года показатели 10 муниципальных образований области: муниципальные районы — Брасовский, Гордеевский, Карачевский, Клетнянский, Климовский, Погарский, Почепский, Рогнединский, Севский.</w:t>
          </w:r>
        </w:p>
        <w:p>
          <w:pPr>
            <w:pStyle w:val="Normal"/>
            <w:tabs>
              <w:tab w:val="clear" w:pos="708"/>
              <w:tab w:val="left" w:pos="851" w:leader="none"/>
            </w:tabs>
            <w:ind w:firstLine="709"/>
            <w:jc w:val="both"/>
            <w:rPr>
              <w:bCs/>
              <w:u w:val="single"/>
            </w:rPr>
          </w:pPr>
          <w:r>
            <w:rPr>
              <w:bCs/>
              <w:u w:val="single"/>
            </w:rPr>
          </w:r>
        </w:p>
        <w:p>
          <w:pPr>
            <w:pStyle w:val="Normal"/>
            <w:tabs>
              <w:tab w:val="clear" w:pos="708"/>
              <w:tab w:val="left" w:pos="851" w:leader="none"/>
            </w:tabs>
            <w:ind w:firstLine="709"/>
            <w:jc w:val="both"/>
            <w:rPr>
              <w:bCs/>
              <w:u w:val="single"/>
            </w:rPr>
          </w:pPr>
          <w:r>
            <w:rPr>
              <w:bCs/>
              <w:u w:val="single"/>
            </w:rPr>
            <w:t>Удельная величина потребления горячей воды в многоквартирных домах</w:t>
          </w:r>
        </w:p>
        <w:p>
          <w:pPr>
            <w:pStyle w:val="Normal"/>
            <w:tabs>
              <w:tab w:val="clear" w:pos="708"/>
              <w:tab w:val="left" w:pos="851" w:leader="none"/>
            </w:tabs>
            <w:ind w:firstLine="709"/>
            <w:jc w:val="both"/>
            <w:rPr>
              <w:bCs/>
            </w:rPr>
          </w:pPr>
          <w:r>
            <w:rPr>
              <w:bCs/>
            </w:rPr>
            <w:t xml:space="preserve">В целом по области наметилась тенденция показателя к снижению. Снизилось  потребление в 2019 году горячей воды городских округах Клинцы, Новозыбков, Сельцо и Фокино; муниципальных районах – Выгоничском, Мглинском и Погарском.  </w:t>
          </w:r>
        </w:p>
        <w:p>
          <w:pPr>
            <w:pStyle w:val="Normal"/>
            <w:tabs>
              <w:tab w:val="clear" w:pos="708"/>
              <w:tab w:val="left" w:pos="851" w:leader="none"/>
            </w:tabs>
            <w:ind w:firstLine="709"/>
            <w:jc w:val="both"/>
            <w:rPr>
              <w:bCs/>
            </w:rPr>
          </w:pPr>
          <w:r>
            <w:rPr>
              <w:bCs/>
            </w:rPr>
            <w:t>Незначительный рост потребления горячей воды наблюдается в городском округе Брянск, а также в муниципальных районах – Дятьковском и Жуковском .</w:t>
          </w:r>
        </w:p>
        <w:p>
          <w:pPr>
            <w:pStyle w:val="Normal"/>
            <w:tabs>
              <w:tab w:val="clear" w:pos="708"/>
              <w:tab w:val="left" w:pos="851" w:leader="none"/>
            </w:tabs>
            <w:ind w:firstLine="709"/>
            <w:jc w:val="both"/>
            <w:rPr>
              <w:bCs/>
            </w:rPr>
          </w:pPr>
          <w:r>
            <w:rPr>
              <w:bCs/>
            </w:rPr>
          </w:r>
        </w:p>
        <w:p>
          <w:pPr>
            <w:pStyle w:val="Normal"/>
            <w:tabs>
              <w:tab w:val="clear" w:pos="708"/>
              <w:tab w:val="left" w:pos="851" w:leader="none"/>
            </w:tabs>
            <w:ind w:firstLine="709"/>
            <w:jc w:val="both"/>
            <w:rPr>
              <w:bCs/>
              <w:u w:val="single"/>
            </w:rPr>
          </w:pPr>
          <w:r>
            <w:rPr>
              <w:u w:val="single"/>
            </w:rPr>
            <w:t>Удельная величина потребления холодной воды в многоквартирных домах</w:t>
          </w:r>
        </w:p>
        <w:p>
          <w:pPr>
            <w:pStyle w:val="NoSpacing"/>
            <w:tabs>
              <w:tab w:val="clear" w:pos="708"/>
              <w:tab w:val="left" w:pos="851" w:leader="none"/>
            </w:tabs>
            <w:ind w:firstLine="709"/>
            <w:jc w:val="both"/>
            <w:rPr>
              <w:rFonts w:eastAsia="Times New Roman"/>
              <w:bCs/>
              <w:sz w:val="28"/>
              <w:szCs w:val="28"/>
              <w:lang w:eastAsia="ru-RU"/>
            </w:rPr>
          </w:pPr>
          <w:r>
            <w:rPr>
              <w:rFonts w:eastAsia="Times New Roman"/>
              <w:bCs/>
              <w:sz w:val="28"/>
              <w:szCs w:val="28"/>
              <w:lang w:eastAsia="ru-RU"/>
            </w:rPr>
            <w:t xml:space="preserve">Удельная величина потребления холодной воды в многоквартирных домах в большинстве муниципальных районов области в анализируемом периоде по сравнению с 2018 годом уменьшилась либо осталась на прежнем уровне. </w:t>
          </w:r>
        </w:p>
        <w:p>
          <w:pPr>
            <w:pStyle w:val="NoSpacing"/>
            <w:tabs>
              <w:tab w:val="clear" w:pos="708"/>
              <w:tab w:val="left" w:pos="851" w:leader="none"/>
            </w:tabs>
            <w:ind w:firstLine="709"/>
            <w:jc w:val="both"/>
            <w:rPr>
              <w:rFonts w:eastAsia="Times New Roman"/>
              <w:bCs/>
              <w:sz w:val="28"/>
              <w:szCs w:val="28"/>
              <w:lang w:eastAsia="ru-RU"/>
            </w:rPr>
          </w:pPr>
          <w:r>
            <w:rPr>
              <w:rFonts w:eastAsia="Times New Roman"/>
              <w:bCs/>
              <w:sz w:val="28"/>
              <w:szCs w:val="28"/>
              <w:lang w:eastAsia="ru-RU"/>
            </w:rPr>
            <w:t>Уменьшился показатель в городских округах Брянск, Новозыбков и Фокино, в муниципальных районах  – Брянский, Выгоничский, Жуковский, Климовский и др.</w:t>
          </w:r>
        </w:p>
        <w:p>
          <w:pPr>
            <w:pStyle w:val="NoSpacing"/>
            <w:tabs>
              <w:tab w:val="clear" w:pos="708"/>
              <w:tab w:val="left" w:pos="851" w:leader="none"/>
            </w:tabs>
            <w:ind w:firstLine="709"/>
            <w:jc w:val="both"/>
            <w:rPr>
              <w:rFonts w:eastAsia="Times New Roman"/>
              <w:bCs/>
              <w:sz w:val="28"/>
              <w:szCs w:val="28"/>
              <w:lang w:eastAsia="ru-RU"/>
            </w:rPr>
          </w:pPr>
          <w:r>
            <w:rPr>
              <w:rFonts w:eastAsia="Times New Roman"/>
              <w:bCs/>
              <w:sz w:val="28"/>
              <w:szCs w:val="28"/>
              <w:lang w:eastAsia="ru-RU"/>
            </w:rPr>
            <w:t xml:space="preserve">Положительная динамика обусловлена проведением органами местного самоуправления совместно с управляющими и ресурсоснабжающими организациями мероприятий по дооснащению многоквартирных домов общедомовыми и индивидуальными приборами учета потребления коммунальных ресурсов, что свидетельствует об эффективном исполнении реализации мероприятий по энергосбережению. </w:t>
          </w:r>
        </w:p>
        <w:p>
          <w:pPr>
            <w:pStyle w:val="NoSpacing"/>
            <w:tabs>
              <w:tab w:val="clear" w:pos="708"/>
              <w:tab w:val="left" w:pos="851" w:leader="none"/>
            </w:tabs>
            <w:ind w:firstLine="709"/>
            <w:jc w:val="both"/>
            <w:rPr>
              <w:rFonts w:eastAsia="Times New Roman"/>
              <w:bCs/>
              <w:sz w:val="28"/>
              <w:szCs w:val="28"/>
              <w:lang w:eastAsia="ru-RU"/>
            </w:rPr>
          </w:pPr>
          <w:r>
            <w:rPr>
              <w:rFonts w:eastAsia="Times New Roman"/>
              <w:bCs/>
              <w:sz w:val="28"/>
              <w:szCs w:val="28"/>
              <w:lang w:eastAsia="ru-RU"/>
            </w:rPr>
            <w:t xml:space="preserve">Увеличился данный показатель в городских округах Клинцы и Сельцо, в муниципальных районах – Карачевский, Клинцовский, Унечский и Дятьковский. </w:t>
          </w:r>
        </w:p>
        <w:p>
          <w:pPr>
            <w:pStyle w:val="NoSpacing"/>
            <w:tabs>
              <w:tab w:val="clear" w:pos="708"/>
              <w:tab w:val="left" w:pos="851" w:leader="none"/>
            </w:tabs>
            <w:ind w:firstLine="709"/>
            <w:jc w:val="both"/>
            <w:rPr>
              <w:sz w:val="28"/>
              <w:szCs w:val="28"/>
              <w:u w:val="single"/>
            </w:rPr>
          </w:pPr>
          <w:r>
            <w:rPr>
              <w:sz w:val="28"/>
              <w:szCs w:val="28"/>
              <w:u w:val="single"/>
            </w:rPr>
          </w:r>
        </w:p>
        <w:p>
          <w:pPr>
            <w:pStyle w:val="NoSpacing"/>
            <w:tabs>
              <w:tab w:val="clear" w:pos="708"/>
              <w:tab w:val="left" w:pos="851" w:leader="none"/>
            </w:tabs>
            <w:ind w:firstLine="709"/>
            <w:jc w:val="both"/>
            <w:rPr>
              <w:sz w:val="28"/>
              <w:szCs w:val="28"/>
              <w:u w:val="single"/>
            </w:rPr>
          </w:pPr>
          <w:r>
            <w:rPr>
              <w:sz w:val="28"/>
              <w:szCs w:val="28"/>
              <w:u w:val="single"/>
            </w:rPr>
            <w:t xml:space="preserve">Удельная величина потребления природного газа </w:t>
          </w:r>
        </w:p>
        <w:p>
          <w:pPr>
            <w:pStyle w:val="Style39"/>
            <w:spacing w:before="0" w:after="0"/>
            <w:ind w:left="0" w:firstLine="709"/>
            <w:jc w:val="both"/>
            <w:rPr>
              <w:rFonts w:eastAsia="Calibri"/>
              <w:sz w:val="28"/>
              <w:szCs w:val="28"/>
              <w:lang w:eastAsia="en-US"/>
            </w:rPr>
          </w:pPr>
          <w:r>
            <w:rPr>
              <w:rFonts w:eastAsia="Calibri"/>
              <w:sz w:val="28"/>
              <w:szCs w:val="28"/>
              <w:lang w:eastAsia="en-US"/>
            </w:rPr>
            <w:t xml:space="preserve">В отчетном году показатель вырос в муниципальных районах – Выгоничском, Жуковском и Карачевском. </w:t>
          </w:r>
        </w:p>
        <w:p>
          <w:pPr>
            <w:pStyle w:val="Style39"/>
            <w:spacing w:before="0" w:after="0"/>
            <w:ind w:left="0" w:firstLine="709"/>
            <w:jc w:val="both"/>
            <w:rPr>
              <w:rFonts w:eastAsia="Calibri"/>
              <w:sz w:val="28"/>
              <w:szCs w:val="28"/>
              <w:lang w:eastAsia="en-US"/>
            </w:rPr>
          </w:pPr>
          <w:r>
            <w:rPr>
              <w:rFonts w:eastAsia="Calibri"/>
              <w:sz w:val="28"/>
              <w:szCs w:val="28"/>
              <w:lang w:eastAsia="en-US"/>
            </w:rPr>
            <w:t>Снижение указанного показателя наблюдается в городских округах - Брянск, Клинцы, Новозыбков и Фокино, в муниципальных районах снижение отмечено в 18 муниципальных образованиях.</w:t>
          </w:r>
        </w:p>
        <w:p>
          <w:pPr>
            <w:pStyle w:val="Style39"/>
            <w:spacing w:before="0" w:after="0"/>
            <w:ind w:left="0" w:firstLine="709"/>
            <w:jc w:val="both"/>
            <w:rPr>
              <w:rFonts w:eastAsia="Calibri"/>
              <w:sz w:val="28"/>
              <w:szCs w:val="28"/>
              <w:lang w:eastAsia="en-US"/>
            </w:rPr>
          </w:pPr>
          <w:r>
            <w:rPr>
              <w:rFonts w:eastAsia="Calibri"/>
              <w:sz w:val="28"/>
              <w:szCs w:val="28"/>
              <w:lang w:eastAsia="en-US"/>
            </w:rPr>
            <w:t>Снижение безучетного потребления газа в муниципальных районах в основном обусловлено установкой индивидуальных приборов учета.</w:t>
          </w:r>
        </w:p>
        <w:p>
          <w:pPr>
            <w:pStyle w:val="Style39"/>
            <w:spacing w:before="0" w:after="0"/>
            <w:ind w:left="0" w:firstLine="709"/>
            <w:jc w:val="both"/>
            <w:rPr>
              <w:sz w:val="28"/>
              <w:szCs w:val="28"/>
            </w:rPr>
          </w:pPr>
          <w:r>
            <w:rPr>
              <w:sz w:val="28"/>
              <w:szCs w:val="28"/>
            </w:rPr>
          </w:r>
        </w:p>
        <w:p>
          <w:pPr>
            <w:pStyle w:val="Normal"/>
            <w:ind w:firstLine="709"/>
            <w:jc w:val="both"/>
            <w:rPr>
              <w:b/>
              <w:b/>
              <w:spacing w:val="-4"/>
            </w:rPr>
          </w:pPr>
          <w:r>
            <w:rPr>
              <w:b/>
            </w:rPr>
            <w:t>40.</w:t>
          </w:r>
          <w:r>
            <w:rPr/>
            <w:t xml:space="preserve"> </w:t>
          </w:r>
          <w:r>
            <w:rPr>
              <w:b/>
              <w:spacing w:val="-4"/>
            </w:rPr>
            <w:t>Удельная величина потребления энергетических ресурсов муниципальными бюджетными учреждениями (электрическая и тепловая энергия, горячая и холодная вода, природный газ), (кВтч на 1 человека населения, Гкал на 1 кв. метр общей площади, куб. метров на 1 человека населения)</w:t>
          </w:r>
          <w:r>
            <w:rPr>
              <w:rStyle w:val="FootnoteCharacters"/>
              <w:b/>
              <w:color w:val="FFFFFF" w:themeColor="background1"/>
            </w:rPr>
            <w:t xml:space="preserve"> </w:t>
          </w:r>
        </w:p>
        <w:p>
          <w:pPr>
            <w:pStyle w:val="Style39"/>
            <w:spacing w:before="0" w:after="0"/>
            <w:ind w:left="283" w:firstLine="709"/>
            <w:jc w:val="both"/>
            <w:rPr>
              <w:bCs/>
              <w:sz w:val="28"/>
              <w:szCs w:val="28"/>
            </w:rPr>
          </w:pPr>
          <w:r>
            <w:rPr>
              <w:bCs/>
              <w:sz w:val="28"/>
              <w:szCs w:val="28"/>
            </w:rPr>
            <w:t xml:space="preserve">В 2019 году отмечено продолжение тенденции к снижению величин потребления энергетических ресурсов, что свидетельствует об исполнении требований ст. 24 Федерального закона от 23.11.2009 № 261 «Об энергосбережении и о повышении энергетической эффективности и о внесении изменений в отдельные законодательные акты Российской Федерации». </w:t>
          </w:r>
        </w:p>
        <w:p>
          <w:pPr>
            <w:pStyle w:val="Style39"/>
            <w:spacing w:before="0" w:after="0"/>
            <w:ind w:left="0" w:firstLine="709"/>
            <w:jc w:val="both"/>
            <w:rPr>
              <w:sz w:val="28"/>
              <w:szCs w:val="28"/>
            </w:rPr>
          </w:pPr>
          <w:r>
            <w:rPr>
              <w:bCs/>
              <w:sz w:val="28"/>
              <w:szCs w:val="28"/>
            </w:rPr>
            <w:t>На сокращение объемов потребления энергетических ресурсов в муниципальных учреждениях Брянской области в 2019 году повлияли проводимые в рамках муниципальных программ по энергосбережению и повышению энергетической эффективности энергосберегающие мероприятия.</w:t>
          </w:r>
        </w:p>
        <w:p>
          <w:pPr>
            <w:pStyle w:val="Style39"/>
            <w:spacing w:before="0" w:after="0"/>
            <w:ind w:left="0" w:firstLine="709"/>
            <w:jc w:val="both"/>
            <w:rPr>
              <w:sz w:val="28"/>
              <w:szCs w:val="28"/>
            </w:rPr>
          </w:pPr>
          <w:r>
            <w:rPr>
              <w:sz w:val="28"/>
              <w:szCs w:val="28"/>
            </w:rPr>
          </w:r>
        </w:p>
        <w:p>
          <w:pPr>
            <w:pStyle w:val="Normal"/>
            <w:ind w:firstLine="709"/>
            <w:jc w:val="both"/>
            <w:rPr>
              <w:b/>
              <w:b/>
            </w:rPr>
          </w:pPr>
          <w:r>
            <w:rPr>
              <w:b/>
            </w:rPr>
          </w:r>
        </w:p>
        <w:p>
          <w:pPr>
            <w:pStyle w:val="Style39"/>
            <w:spacing w:before="0" w:after="0"/>
            <w:ind w:left="0" w:firstLine="709"/>
            <w:jc w:val="both"/>
            <w:rPr>
              <w:b/>
              <w:b/>
              <w:bCs/>
              <w:sz w:val="28"/>
              <w:szCs w:val="28"/>
            </w:rPr>
          </w:pPr>
          <w:r>
            <w:rPr>
              <w:b/>
              <w:bCs/>
              <w:sz w:val="28"/>
              <w:szCs w:val="28"/>
            </w:rPr>
          </w:r>
        </w:p>
        <w:p>
          <w:pPr>
            <w:pStyle w:val="Style39"/>
            <w:spacing w:before="0" w:after="0"/>
            <w:ind w:left="0" w:firstLine="709"/>
            <w:jc w:val="both"/>
            <w:rPr>
              <w:sz w:val="28"/>
              <w:szCs w:val="28"/>
            </w:rPr>
          </w:pPr>
          <w:r>
            <w:rPr>
              <w:sz w:val="28"/>
              <w:szCs w:val="28"/>
            </w:rPr>
          </w:r>
        </w:p>
        <w:p>
          <w:pPr>
            <w:pStyle w:val="Style39"/>
            <w:ind w:left="283" w:firstLine="743"/>
            <w:jc w:val="center"/>
            <w:rPr>
              <w:sz w:val="28"/>
              <w:szCs w:val="28"/>
              <w:u w:val="single"/>
            </w:rPr>
          </w:pPr>
          <w:r>
            <w:rPr>
              <w:sz w:val="28"/>
              <w:szCs w:val="28"/>
              <w:u w:val="single"/>
            </w:rPr>
            <w:t>Зоны, требующие приоритетного внимания органов местного самоуправления городских округов и муниципальных районов в сфере «Энергосбережение и повышение энергетической эффективности»</w:t>
          </w:r>
        </w:p>
        <w:p>
          <w:pPr>
            <w:pStyle w:val="ListParagraph"/>
            <w:numPr>
              <w:ilvl w:val="0"/>
              <w:numId w:val="20"/>
            </w:numPr>
            <w:spacing w:lineRule="auto" w:line="240" w:before="0" w:after="0"/>
            <w:ind w:left="0" w:firstLine="709"/>
            <w:contextualSpacing/>
            <w:jc w:val="both"/>
            <w:rPr>
              <w:rFonts w:ascii="Times New Roman" w:hAnsi="Times New Roman"/>
              <w:sz w:val="28"/>
              <w:szCs w:val="28"/>
            </w:rPr>
          </w:pPr>
          <w:r>
            <w:rPr>
              <w:rFonts w:ascii="Times New Roman" w:hAnsi="Times New Roman"/>
              <w:sz w:val="28"/>
              <w:szCs w:val="28"/>
            </w:rPr>
            <w:t>Развитие рынка энергосервисных услуг.</w:t>
          </w:r>
        </w:p>
        <w:p>
          <w:pPr>
            <w:pStyle w:val="ListParagraph"/>
            <w:numPr>
              <w:ilvl w:val="0"/>
              <w:numId w:val="20"/>
            </w:numPr>
            <w:spacing w:lineRule="auto" w:line="240" w:before="0" w:after="0"/>
            <w:ind w:left="0" w:firstLine="709"/>
            <w:contextualSpacing/>
            <w:jc w:val="both"/>
            <w:rPr>
              <w:rFonts w:ascii="Times New Roman" w:hAnsi="Times New Roman"/>
              <w:sz w:val="28"/>
              <w:szCs w:val="28"/>
            </w:rPr>
          </w:pPr>
          <w:r>
            <w:rPr>
              <w:rFonts w:ascii="Times New Roman" w:hAnsi="Times New Roman"/>
              <w:sz w:val="28"/>
              <w:szCs w:val="28"/>
            </w:rPr>
            <w:t>Обеспечение установки светодиодного освещения и индивидуальных тепловых пунктов с автоматическим погодным регулированием.</w:t>
          </w:r>
        </w:p>
        <w:p>
          <w:pPr>
            <w:pStyle w:val="Default"/>
            <w:numPr>
              <w:ilvl w:val="0"/>
              <w:numId w:val="20"/>
            </w:numPr>
            <w:ind w:left="0" w:firstLine="709"/>
            <w:jc w:val="both"/>
            <w:rPr>
              <w:color w:val="auto"/>
              <w:sz w:val="28"/>
              <w:szCs w:val="28"/>
            </w:rPr>
          </w:pPr>
          <w:r>
            <w:rPr>
              <w:sz w:val="28"/>
              <w:szCs w:val="28"/>
            </w:rPr>
            <w:t>Обеспечение 100% установки приборов учета тепло-, электроэнергии, воды и газа в организациях бюджетной сферы.</w:t>
          </w:r>
        </w:p>
        <w:p>
          <w:pPr>
            <w:pStyle w:val="Default"/>
            <w:numPr>
              <w:ilvl w:val="0"/>
              <w:numId w:val="20"/>
            </w:numPr>
            <w:ind w:left="0" w:firstLine="709"/>
            <w:jc w:val="both"/>
            <w:rPr>
              <w:sz w:val="28"/>
              <w:szCs w:val="28"/>
            </w:rPr>
          </w:pPr>
          <w:r>
            <w:rPr>
              <w:sz w:val="28"/>
              <w:szCs w:val="28"/>
            </w:rPr>
            <w:t>Повышение уровня информационного сопровождения со стороны администраций муниципальных образований по вопросам реализации энергосберегающих мероприятий в условиях ограниченного бюджетного финансирования путем привлечения частных инвестиций.</w:t>
          </w:r>
        </w:p>
        <w:p>
          <w:pPr>
            <w:pStyle w:val="ListParagraph"/>
            <w:numPr>
              <w:ilvl w:val="0"/>
              <w:numId w:val="20"/>
            </w:numPr>
            <w:spacing w:lineRule="auto" w:line="240" w:before="0" w:after="0"/>
            <w:ind w:left="0" w:firstLine="709"/>
            <w:contextualSpacing/>
            <w:jc w:val="both"/>
            <w:rPr>
              <w:rFonts w:ascii="Times New Roman" w:hAnsi="Times New Roman"/>
              <w:sz w:val="28"/>
              <w:szCs w:val="28"/>
            </w:rPr>
          </w:pPr>
          <w:r>
            <w:rPr>
              <w:rFonts w:ascii="Times New Roman" w:hAnsi="Times New Roman"/>
              <w:sz w:val="28"/>
              <w:szCs w:val="28"/>
            </w:rPr>
            <w:t>Своевременное проведение ресурсоснабжающими организациями мероприятий по замене ветхих инженерных сетей, техническому перевооружению объектов коммунальной инфраструктуры с использованием энергосберегающего оборудования и материалов.</w:t>
          </w:r>
        </w:p>
        <w:p>
          <w:pPr>
            <w:pStyle w:val="Normal"/>
            <w:jc w:val="center"/>
            <w:rPr>
              <w:i/>
              <w:i/>
              <w:u w:val="single"/>
            </w:rPr>
          </w:pPr>
          <w:r>
            <w:rPr>
              <w:i/>
              <w:u w:val="single"/>
            </w:rPr>
          </w:r>
        </w:p>
        <w:p>
          <w:pPr>
            <w:pStyle w:val="Normal"/>
            <w:jc w:val="center"/>
            <w:rPr>
              <w:u w:val="single"/>
            </w:rPr>
          </w:pPr>
          <w:r>
            <w:rPr>
              <w:u w:val="single"/>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«Энергосбережение и повышение энергетической эффективности»</w:t>
          </w:r>
        </w:p>
        <w:p>
          <w:pPr>
            <w:pStyle w:val="Default"/>
            <w:numPr>
              <w:ilvl w:val="0"/>
              <w:numId w:val="14"/>
            </w:numPr>
            <w:ind w:left="0" w:firstLine="567"/>
            <w:jc w:val="both"/>
            <w:rPr>
              <w:color w:val="auto"/>
              <w:sz w:val="28"/>
              <w:szCs w:val="28"/>
            </w:rPr>
          </w:pPr>
          <w:r>
            <w:rPr>
              <w:color w:val="auto"/>
              <w:sz w:val="28"/>
              <w:szCs w:val="28"/>
            </w:rPr>
            <w:t>Выявление причин роста удельной величины потребления тепловой энергии, горячей и холодной воды.</w:t>
          </w:r>
        </w:p>
        <w:p>
          <w:pPr>
            <w:pStyle w:val="Default"/>
            <w:numPr>
              <w:ilvl w:val="0"/>
              <w:numId w:val="14"/>
            </w:numPr>
            <w:ind w:left="0" w:firstLine="567"/>
            <w:jc w:val="both"/>
            <w:rPr>
              <w:color w:val="auto"/>
              <w:sz w:val="28"/>
              <w:szCs w:val="28"/>
            </w:rPr>
          </w:pPr>
          <w:r>
            <w:rPr>
              <w:color w:val="auto"/>
              <w:sz w:val="28"/>
              <w:szCs w:val="28"/>
            </w:rPr>
            <w:t>Заключение энергосервисных контрактов в области энергосбережения и повышения энергетической эффективности.</w:t>
          </w:r>
        </w:p>
        <w:p>
          <w:pPr>
            <w:pStyle w:val="Default"/>
            <w:numPr>
              <w:ilvl w:val="0"/>
              <w:numId w:val="14"/>
            </w:numPr>
            <w:ind w:left="0" w:firstLine="567"/>
            <w:jc w:val="both"/>
            <w:rPr>
              <w:color w:val="auto"/>
              <w:sz w:val="28"/>
              <w:szCs w:val="28"/>
            </w:rPr>
          </w:pPr>
          <w:r>
            <w:rPr>
              <w:i/>
              <w:color w:val="auto"/>
              <w:sz w:val="28"/>
              <w:szCs w:val="28"/>
            </w:rPr>
            <w:t xml:space="preserve"> </w:t>
          </w:r>
          <w:r>
            <w:rPr>
              <w:color w:val="auto"/>
              <w:sz w:val="28"/>
              <w:szCs w:val="28"/>
            </w:rPr>
            <w:t>Актуализация программы энергосбережения и повышения энергетической эффективности муниципального образования части разработки мероприятий, направленных на снижение расхода тепловой энергии, горячей и холодной воды в муниципальных учреждениях.</w:t>
          </w:r>
        </w:p>
        <w:p>
          <w:pPr>
            <w:pStyle w:val="Default"/>
            <w:numPr>
              <w:ilvl w:val="0"/>
              <w:numId w:val="14"/>
            </w:numPr>
            <w:ind w:left="0" w:firstLine="567"/>
            <w:jc w:val="both"/>
            <w:rPr>
              <w:color w:val="auto"/>
              <w:sz w:val="28"/>
              <w:szCs w:val="28"/>
            </w:rPr>
          </w:pPr>
          <w:r>
            <w:rPr>
              <w:color w:val="auto"/>
              <w:sz w:val="28"/>
              <w:szCs w:val="28"/>
            </w:rPr>
            <w:t>Обеспечение мониторинга текущего энергопотребления и состояния зданий всех муниципальных учреждений, органов местного самоуправления Ивановской области на основе анализа информации об энергосбережении и повышении энергетической эффективности (энергетических деклараций) в ГИС «Энергоэффективность».</w:t>
          </w:r>
        </w:p>
        <w:p>
          <w:pPr>
            <w:pStyle w:val="ListParagraph"/>
            <w:numPr>
              <w:ilvl w:val="0"/>
              <w:numId w:val="14"/>
            </w:numPr>
            <w:ind w:left="0" w:firstLine="567"/>
            <w:jc w:val="both"/>
            <w:rPr>
              <w:rFonts w:ascii="Times New Roman" w:hAnsi="Times New Roman"/>
              <w:sz w:val="28"/>
              <w:szCs w:val="28"/>
            </w:rPr>
          </w:pPr>
          <w:r>
            <w:rPr>
              <w:rFonts w:ascii="Times New Roman" w:hAnsi="Times New Roman"/>
              <w:sz w:val="28"/>
              <w:szCs w:val="28"/>
            </w:rPr>
            <w:t>Повышение популяризации энергосбережения и повышения энергетической эффективности среди населения Ивановской области.</w:t>
          </w:r>
        </w:p>
        <w:p>
          <w:pPr>
            <w:pStyle w:val="ListParagraph"/>
            <w:numPr>
              <w:ilvl w:val="0"/>
              <w:numId w:val="14"/>
            </w:numPr>
            <w:spacing w:lineRule="auto" w:line="240" w:before="0" w:after="0"/>
            <w:ind w:left="0" w:firstLine="567"/>
            <w:contextualSpacing/>
            <w:jc w:val="both"/>
            <w:rPr>
              <w:rFonts w:ascii="Times New Roman" w:hAnsi="Times New Roman"/>
              <w:sz w:val="28"/>
              <w:szCs w:val="28"/>
            </w:rPr>
          </w:pPr>
          <w:r>
            <w:rPr>
              <w:rFonts w:ascii="Times New Roman" w:hAnsi="Times New Roman"/>
              <w:sz w:val="28"/>
              <w:szCs w:val="28"/>
            </w:rPr>
            <w:t>Привлечение внебюджетных источников финансирования (частных инвестиций, заемных средств) в сферу жилищно-коммунального хозяйства путем реализации (активизации) мероприятий по передаче систем коммунальной инфраструктуры в долгосрочную концессию.</w:t>
          </w:r>
        </w:p>
        <w:p>
          <w:pPr>
            <w:pStyle w:val="Normal"/>
            <w:spacing w:before="0" w:after="0"/>
            <w:contextualSpacing/>
            <w:mirrorIndents/>
            <w:rPr>
              <w:i/>
              <w:i/>
            </w:rPr>
          </w:pPr>
          <w:r>
            <w:rPr>
              <w:i/>
            </w:rPr>
          </w:r>
        </w:p>
        <w:p>
          <w:pPr>
            <w:pStyle w:val="Style41"/>
            <w:rPr/>
          </w:pPr>
          <w:r>
            <w:rPr/>
          </w:r>
        </w:p>
        <w:p>
          <w:pPr>
            <w:pStyle w:val="Normal"/>
            <w:jc w:val="both"/>
            <w:rPr>
              <w:b/>
              <w:b/>
            </w:rPr>
          </w:pPr>
          <w:r>
            <w:rPr>
              <w:b/>
            </w:rPr>
            <w:t>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(баллы):</w:t>
          </w:r>
        </w:p>
        <w:p>
          <w:pPr>
            <w:pStyle w:val="Normal"/>
            <w:jc w:val="both"/>
            <w:rPr>
              <w:b/>
              <w:b/>
            </w:rPr>
          </w:pPr>
          <w:r>
            <w:rPr>
              <w:b/>
            </w:rPr>
          </w:r>
        </w:p>
        <w:p>
          <w:pPr>
            <w:pStyle w:val="Normal"/>
            <w:jc w:val="both"/>
            <w:rPr>
              <w:b/>
              <w:b/>
            </w:rPr>
          </w:pPr>
          <w:r>
            <w:rPr>
              <w:b/>
            </w:rPr>
            <w:t>В сфере культуры:</w:t>
          </w:r>
        </w:p>
        <w:p>
          <w:pPr>
            <w:pStyle w:val="Normal"/>
            <w:widowControl/>
            <w:suppressAutoHyphens w:val="true"/>
            <w:bidi w:val="0"/>
            <w:spacing w:before="0" w:after="0"/>
            <w:ind w:left="0" w:right="0" w:firstLine="850"/>
            <w:jc w:val="both"/>
            <w:rPr/>
          </w:pPr>
          <w:r>
            <w:rPr>
              <w:rFonts w:eastAsia="Calibri" w:cs="Calibri"/>
              <w:color w:val="000000"/>
              <w:lang w:eastAsia="ar-SA"/>
            </w:rPr>
            <w:t xml:space="preserve">Проведение независимой оценки качества условий оказания услуг </w:t>
          </w:r>
          <w:r>
            <w:rPr/>
            <w:t>организациями культуры Брянской области осуществляется в соответствии с Федеральным законом от 5 декабря 2017 года №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и приказом Министерства культуры Российской Федерации от 27 апреля 2018 г. № 599 «Об утверждении показателей, характеризующих общие критерии оценки качества условий оказания услуг организациями культуры».</w:t>
          </w:r>
        </w:p>
        <w:p>
          <w:pPr>
            <w:pStyle w:val="Normal"/>
            <w:widowControl/>
            <w:suppressAutoHyphens w:val="false"/>
            <w:bidi w:val="0"/>
            <w:spacing w:before="0" w:after="0"/>
            <w:ind w:left="0" w:right="0" w:firstLine="850"/>
            <w:jc w:val="both"/>
            <w:rPr/>
          </w:pPr>
          <w:r>
            <w:rPr/>
            <w:t xml:space="preserve">По итогам 2018-2019 годов охват независимой оценкой качества условий оказания услуг организациями культуры Брянской области составил 62%, (2018 – 30%, 2019 – 32%).  План охвата на 2020 год – 38%. </w:t>
          </w:r>
        </w:p>
        <w:p>
          <w:pPr>
            <w:pStyle w:val="Normal"/>
            <w:widowControl/>
            <w:suppressAutoHyphens w:val="false"/>
            <w:bidi w:val="0"/>
            <w:spacing w:before="0" w:after="0"/>
            <w:ind w:left="0" w:right="0" w:firstLine="737"/>
            <w:jc w:val="both"/>
            <w:rPr/>
          </w:pPr>
          <w:r>
            <w:rPr/>
            <w:t>Таким образом, за период 2018-2020 годов независимой оценкой будет охвачено 100% организаций культуры Брянской области, подлежащих данной оценке. Независимой организацией – оператором по организации и проведению оценки качества условий оказания услуг организациями культуры региона выступил филиал Общероссийской просветительской организации Российское общество «Знание» в Брянской области.</w:t>
          </w:r>
        </w:p>
        <w:p>
          <w:pPr>
            <w:pStyle w:val="Normal"/>
            <w:widowControl/>
            <w:suppressAutoHyphens w:val="false"/>
            <w:bidi w:val="0"/>
            <w:spacing w:before="0" w:after="0"/>
            <w:ind w:left="0" w:right="0" w:firstLine="737"/>
            <w:jc w:val="both"/>
            <w:rPr/>
          </w:pPr>
          <w:r>
            <w:rPr/>
            <w:t>В сентябре 2019 года оператором была организована и проведена оценка качества условий оказания услуг в 34 организациях сферы культура. Способ реализации: массовый опрос получателей услуг в 34 организациях сферы культура и анализ результатов электронного анкетирования. Было опрошено 11009 получателей услуг, что составляет не менее 40% от общего количества получателей.</w:t>
          </w:r>
        </w:p>
        <w:p>
          <w:pPr>
            <w:pStyle w:val="Normal"/>
            <w:suppressAutoHyphens w:val="true"/>
            <w:ind w:firstLine="708"/>
            <w:jc w:val="both"/>
            <w:rPr/>
          </w:pPr>
          <w:r>
            <w:rPr>
              <w:rFonts w:eastAsia="Calibri" w:cs="Calibri"/>
              <w:color w:val="000000"/>
              <w:lang w:eastAsia="ar-SA"/>
            </w:rPr>
            <w:t xml:space="preserve">Самым большим качественным дефицитом является доступность услуг для </w:t>
          </w:r>
          <w:r>
            <w:rPr/>
            <w:t xml:space="preserve">инвалидов. При требовании наличия в помещениях организации культуры и на прилегающей к ней территории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сменных кресел-колясок; специально оборудованных санитарно-гигиенических помещений в организации социальной сферы в учреждениях в наличии не более четырех условий. В целом по региону в отрасли «культура» этот показатель 72%. При этом количество получателей услуг-инвалидов, удовлетворенных доступностью услуг для инвалидов по отношению к числу опрошенных получателей услуг-инвалидов, ответивших на соответствующий вопрос анкеты, составляет 100%. </w:t>
          </w:r>
        </w:p>
        <w:p>
          <w:pPr>
            <w:pStyle w:val="Normal"/>
            <w:suppressAutoHyphens w:val="true"/>
            <w:ind w:firstLine="708"/>
            <w:jc w:val="both"/>
            <w:rPr/>
          </w:pPr>
          <w:r>
            <w:rPr/>
            <w:t xml:space="preserve">Также существуют проблемы в части открытости и доступности информации об организации 88,1% от возможного максимума. </w:t>
          </w:r>
        </w:p>
        <w:p>
          <w:pPr>
            <w:pStyle w:val="Normal"/>
            <w:suppressAutoHyphens w:val="true"/>
            <w:ind w:firstLine="708"/>
            <w:jc w:val="both"/>
            <w:rPr/>
          </w:pPr>
          <w:r>
            <w:rPr/>
            <w:t xml:space="preserve">Часть сайтов оформлена в чрезмерно яркой гамме, некоторые из них получаются нечитаемыми. При таких условиях продолжительное использование сайта становится затруднительным. Также хочется отметить, что на большинстве сайтов документы, списки и различные планы представлены в формате .doc, их приходится скачивать и запускать отдельно в Word. Намного удобнее сделать хотя бы часть таких документов прямо на странице. </w:t>
          </w:r>
        </w:p>
        <w:p>
          <w:pPr>
            <w:pStyle w:val="Normal"/>
            <w:suppressAutoHyphens w:val="true"/>
            <w:ind w:firstLine="708"/>
            <w:jc w:val="both"/>
            <w:rPr/>
          </w:pPr>
          <w:r>
            <w:rPr/>
            <w:t xml:space="preserve"> </w:t>
          </w:r>
          <w:r>
            <w:rPr/>
            <w:t>Часто официальный сайт учреждения не находится через стандартный поисковик. На некоторые сайты без прямой ссылки вообще нельзя попасть.</w:t>
          </w:r>
        </w:p>
        <w:p>
          <w:pPr>
            <w:pStyle w:val="Normal"/>
            <w:widowControl/>
            <w:suppressAutoHyphens w:val="false"/>
            <w:bidi w:val="0"/>
            <w:spacing w:before="0" w:after="0"/>
            <w:ind w:left="0" w:right="0" w:firstLine="907"/>
            <w:jc w:val="both"/>
            <w:rPr/>
          </w:pPr>
          <w:r>
            <w:rPr/>
            <w:t xml:space="preserve">На большинстве сайтов используются «выдвигающиеся списки», на некоторых из них эти самые списки были не кликабельны, из-за чего возможность попасть на определенный раздел отсутствовала. </w:t>
          </w:r>
        </w:p>
        <w:p>
          <w:pPr>
            <w:pStyle w:val="Normal"/>
            <w:widowControl/>
            <w:suppressAutoHyphens w:val="false"/>
            <w:bidi w:val="0"/>
            <w:spacing w:before="0" w:after="0"/>
            <w:ind w:left="0" w:right="0" w:firstLine="907"/>
            <w:jc w:val="both"/>
            <w:rPr/>
          </w:pPr>
          <w:r>
            <w:rPr/>
            <w:t>Критерий комфортности условий и доступности получения услуг имеет 94,1% от максимума.</w:t>
          </w:r>
        </w:p>
        <w:p>
          <w:pPr>
            <w:pStyle w:val="Normal"/>
            <w:widowControl/>
            <w:suppressAutoHyphens w:val="false"/>
            <w:bidi w:val="0"/>
            <w:spacing w:before="0" w:after="0"/>
            <w:ind w:left="0" w:right="0" w:firstLine="907"/>
            <w:jc w:val="both"/>
            <w:rPr/>
          </w:pPr>
          <w:r>
            <w:rPr/>
            <w:t>На оценку комфортности условий влияли такие значимые показатели, как качество мебели, профессионального оборудования, компьютерной техники, состояние которой в некоторых случаях подлежали справедливой критике со стороны потребителей услуг. Результаты опроса показали высокую степень доброжелательности, вежливости работников культуры: 100% от максимума.</w:t>
          </w:r>
        </w:p>
        <w:p>
          <w:pPr>
            <w:pStyle w:val="Normal"/>
            <w:widowControl/>
            <w:suppressAutoHyphens w:val="false"/>
            <w:bidi w:val="0"/>
            <w:spacing w:before="0" w:after="0"/>
            <w:ind w:left="0" w:right="0" w:firstLine="850"/>
            <w:jc w:val="both"/>
            <w:rPr/>
          </w:pPr>
          <w:r>
            <w:rPr/>
            <w:t>Тем не менее 96,5% - это величина показателя, характеризующего удовлетворенность условиями оказания услуг. На величину показателя оказали влияние такие факторы, как 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по отношению к числу опрошенных получателей услуг, ответивших на соответствующий вопрос анкеты (99,1%), число получателей услуг, удовлетворенных организационными условиями предоставления услуг (например: наличием и понятностью навигации внутри организации социальной сферы; графиком работы организации социальной сферы (подразделения, отдельных специалистов) по отношению к числу опрошенных получателей услуг ответивших на соответствующий вопрос анкеты (92,5%), число получателей услуг, удовлетворенных в целом условиями оказания услуг в организации социальной сферы по отношению к числу опрошенных получателей услуг, ответивших на соответствующий вопрос анкеты (96,6%).</w:t>
          </w:r>
        </w:p>
        <w:p>
          <w:pPr>
            <w:pStyle w:val="Normal"/>
            <w:suppressAutoHyphens w:val="true"/>
            <w:ind w:firstLine="708"/>
            <w:jc w:val="both"/>
            <w:rPr/>
          </w:pPr>
          <w:r>
            <w:rPr/>
          </w:r>
        </w:p>
        <w:p>
          <w:pPr>
            <w:pStyle w:val="Normal"/>
            <w:jc w:val="both"/>
            <w:rPr>
              <w:b/>
              <w:b/>
            </w:rPr>
          </w:pPr>
          <w:r>
            <w:rPr>
              <w:b/>
            </w:rPr>
            <w:t>В сфере образованиям</w:t>
          </w:r>
        </w:p>
        <w:p>
          <w:pPr>
            <w:pStyle w:val="Normal"/>
            <w:widowControl/>
            <w:suppressAutoHyphens w:val="false"/>
            <w:bidi w:val="0"/>
            <w:spacing w:before="0" w:after="0"/>
            <w:ind w:left="0" w:right="0" w:firstLine="850"/>
            <w:jc w:val="both"/>
            <w:rPr>
              <w:rFonts w:ascii="Times New Roman" w:hAnsi="Times New Roman"/>
              <w:b w:val="false"/>
              <w:b w:val="false"/>
              <w:bCs w:val="false"/>
              <w:sz w:val="28"/>
              <w:szCs w:val="28"/>
            </w:rPr>
          </w:pPr>
          <w:r>
            <w:rPr>
              <w:b w:val="false"/>
              <w:bCs w:val="false"/>
              <w:sz w:val="28"/>
              <w:szCs w:val="28"/>
            </w:rPr>
            <w:t xml:space="preserve">В 2019 году оператором была организована и проведена оценка качества условий оказания услуг 360 образовательными организациями. Способ реализации: массовый опрос получателей услуг образовательными организациями и анализ результатов электронного и бланкового анкетирования. Было опрошено 31936 получателей услуг, что составляет 44,3% от общего количества получателей. </w:t>
          </w:r>
        </w:p>
        <w:p>
          <w:pPr>
            <w:pStyle w:val="Normal"/>
            <w:widowControl/>
            <w:suppressAutoHyphens w:val="false"/>
            <w:bidi w:val="0"/>
            <w:spacing w:before="0" w:after="0"/>
            <w:ind w:left="0" w:right="0" w:firstLine="850"/>
            <w:jc w:val="both"/>
            <w:rPr>
              <w:rFonts w:ascii="Times New Roman" w:hAnsi="Times New Roman"/>
              <w:b w:val="false"/>
              <w:b w:val="false"/>
              <w:bCs w:val="false"/>
              <w:sz w:val="28"/>
              <w:szCs w:val="28"/>
            </w:rPr>
          </w:pPr>
          <w:r>
            <w:rPr>
              <w:b w:val="false"/>
              <w:bCs w:val="false"/>
              <w:sz w:val="28"/>
              <w:szCs w:val="28"/>
            </w:rPr>
            <w:t>По результатам независимой оценки рекомендовано:</w:t>
          </w:r>
        </w:p>
        <w:p>
          <w:pPr>
            <w:pStyle w:val="Normal"/>
            <w:widowControl/>
            <w:suppressAutoHyphens w:val="false"/>
            <w:bidi w:val="0"/>
            <w:spacing w:before="0" w:after="0"/>
            <w:ind w:left="0" w:right="0" w:firstLine="850"/>
            <w:jc w:val="both"/>
            <w:rPr>
              <w:rFonts w:ascii="Times New Roman" w:hAnsi="Times New Roman"/>
              <w:b w:val="false"/>
              <w:b w:val="false"/>
              <w:bCs w:val="false"/>
              <w:sz w:val="28"/>
              <w:szCs w:val="28"/>
            </w:rPr>
          </w:pPr>
          <w:r>
            <w:rPr>
              <w:b w:val="false"/>
              <w:bCs w:val="false"/>
              <w:sz w:val="28"/>
              <w:szCs w:val="28"/>
            </w:rPr>
            <w:t>1. Разместить информацию об итогах НОК на сайтах учреждений.</w:t>
          </w:r>
        </w:p>
        <w:p>
          <w:pPr>
            <w:pStyle w:val="Normal"/>
            <w:widowControl/>
            <w:suppressAutoHyphens w:val="false"/>
            <w:bidi w:val="0"/>
            <w:spacing w:before="0" w:after="0"/>
            <w:ind w:left="0" w:right="0" w:firstLine="850"/>
            <w:jc w:val="both"/>
            <w:rPr>
              <w:rFonts w:ascii="Times New Roman" w:hAnsi="Times New Roman"/>
              <w:b w:val="false"/>
              <w:b w:val="false"/>
              <w:bCs w:val="false"/>
              <w:sz w:val="28"/>
              <w:szCs w:val="28"/>
            </w:rPr>
          </w:pPr>
          <w:r>
            <w:rPr>
              <w:b w:val="false"/>
              <w:bCs w:val="false"/>
              <w:sz w:val="28"/>
              <w:szCs w:val="28"/>
            </w:rPr>
            <w:t>2. В декабре 2019 года актуализировать информацию на официальных сайтах учреждений.</w:t>
          </w:r>
        </w:p>
        <w:p>
          <w:pPr>
            <w:pStyle w:val="Normal"/>
            <w:widowControl/>
            <w:suppressAutoHyphens w:val="false"/>
            <w:bidi w:val="0"/>
            <w:spacing w:before="0" w:after="0"/>
            <w:ind w:left="0" w:right="0" w:firstLine="850"/>
            <w:jc w:val="both"/>
            <w:rPr>
              <w:rFonts w:ascii="Times New Roman" w:hAnsi="Times New Roman"/>
              <w:b w:val="false"/>
              <w:b w:val="false"/>
              <w:bCs w:val="false"/>
              <w:sz w:val="28"/>
              <w:szCs w:val="28"/>
            </w:rPr>
          </w:pPr>
          <w:r>
            <w:rPr>
              <w:b w:val="false"/>
              <w:bCs w:val="false"/>
              <w:sz w:val="28"/>
              <w:szCs w:val="28"/>
            </w:rPr>
            <w:t>3. Использовать возможности ресурса электронных сервисов для решения вопросов взаимодействия с получателями услуг.</w:t>
          </w:r>
        </w:p>
        <w:p>
          <w:pPr>
            <w:pStyle w:val="Normal"/>
            <w:widowControl/>
            <w:suppressAutoHyphens w:val="false"/>
            <w:bidi w:val="0"/>
            <w:spacing w:before="0" w:after="0"/>
            <w:ind w:left="0" w:right="0" w:firstLine="850"/>
            <w:jc w:val="both"/>
            <w:rPr>
              <w:rFonts w:ascii="Times New Roman" w:hAnsi="Times New Roman"/>
              <w:b w:val="false"/>
              <w:b w:val="false"/>
              <w:bCs w:val="false"/>
              <w:sz w:val="28"/>
              <w:szCs w:val="28"/>
            </w:rPr>
          </w:pPr>
          <w:r>
            <w:rPr>
              <w:b w:val="false"/>
              <w:bCs w:val="false"/>
              <w:sz w:val="28"/>
              <w:szCs w:val="28"/>
            </w:rPr>
            <w:t>4. Реализовать возможность внесения предложений, направленных на улучшение работы, через обращение на сайт организации.</w:t>
          </w:r>
        </w:p>
        <w:p>
          <w:pPr>
            <w:pStyle w:val="Normal"/>
            <w:widowControl/>
            <w:suppressAutoHyphens w:val="false"/>
            <w:bidi w:val="0"/>
            <w:spacing w:before="0" w:after="0"/>
            <w:ind w:left="0" w:right="0" w:firstLine="850"/>
            <w:jc w:val="both"/>
            <w:rPr>
              <w:rFonts w:ascii="Times New Roman" w:hAnsi="Times New Roman"/>
              <w:b w:val="false"/>
              <w:b w:val="false"/>
              <w:bCs w:val="false"/>
              <w:sz w:val="28"/>
              <w:szCs w:val="28"/>
            </w:rPr>
          </w:pPr>
          <w:r>
            <w:rPr>
              <w:b w:val="false"/>
              <w:bCs w:val="false"/>
              <w:sz w:val="28"/>
              <w:szCs w:val="28"/>
            </w:rPr>
            <w:t xml:space="preserve">5. Привести в соответствие с Постановлением Правительства Российской Федерации от 10 июля 2013 г.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сведения о педагогических работниках, исключив вероятность перенаправления на другие сервисы для получения необходимой информации. </w:t>
          </w:r>
        </w:p>
        <w:p>
          <w:pPr>
            <w:pStyle w:val="Normal"/>
            <w:jc w:val="both"/>
            <w:rPr>
              <w:b/>
              <w:b/>
            </w:rPr>
          </w:pPr>
          <w:r>
            <w:rPr>
              <w:b/>
            </w:rPr>
          </w:r>
        </w:p>
        <w:p>
          <w:pPr>
            <w:pStyle w:val="Normal"/>
            <w:jc w:val="both"/>
            <w:rPr>
              <w:b/>
              <w:b/>
            </w:rPr>
          </w:pPr>
          <w:r>
            <w:rPr>
              <w:b/>
            </w:rPr>
            <w:t>В сфере здравоохранения</w:t>
          </w:r>
        </w:p>
        <w:p>
          <w:pPr>
            <w:pStyle w:val="Normal"/>
            <w:shd w:val="clear" w:color="auto" w:fill="FFFFFF"/>
            <w:ind w:firstLine="709"/>
            <w:jc w:val="both"/>
            <w:rPr/>
          </w:pPr>
          <w:r>
            <w:rPr>
              <w:rFonts w:eastAsia="Calibri"/>
              <w:b w:val="false"/>
              <w:bCs w:val="false"/>
              <w:lang w:eastAsia="en-US"/>
            </w:rPr>
            <w:t xml:space="preserve">В 2019 году независимая оценка качества условий оказания услуг организациями в сфере охраны здоровья проведена в 30 медицинских организациях, подведомственных департаменту здравоохранения Брянской области, и 1 медицинской организации неподконтрольной департаменту здравоохранения Брянской области. </w:t>
          </w:r>
        </w:p>
        <w:p>
          <w:pPr>
            <w:pStyle w:val="Normal"/>
            <w:shd w:val="clear" w:color="auto" w:fill="FFFFFF"/>
            <w:ind w:firstLine="709"/>
            <w:jc w:val="both"/>
            <w:rPr>
              <w:b w:val="false"/>
              <w:b w:val="false"/>
              <w:bCs w:val="false"/>
            </w:rPr>
          </w:pPr>
          <w:r>
            <w:rPr>
              <w:rFonts w:eastAsia="Calibri"/>
              <w:b w:val="false"/>
              <w:bCs w:val="false"/>
              <w:lang w:eastAsia="en-US"/>
            </w:rPr>
            <w:t xml:space="preserve">Процент охвата составил 43 (по плану проведения независимой оценки – не ниже 35 %). Проводится постоянная работа по повышению уровня доступности медицинских организаций Брянской области для лиц с ограниченными возможностями здоровья. </w:t>
          </w:r>
        </w:p>
        <w:p>
          <w:pPr>
            <w:pStyle w:val="Normal"/>
            <w:shd w:val="clear" w:color="auto" w:fill="FFFFFF"/>
            <w:ind w:firstLine="709"/>
            <w:jc w:val="both"/>
            <w:rPr>
              <w:b w:val="false"/>
              <w:b w:val="false"/>
              <w:bCs w:val="false"/>
            </w:rPr>
          </w:pPr>
          <w:r>
            <w:rPr>
              <w:rFonts w:eastAsia="Calibri"/>
              <w:b w:val="false"/>
              <w:bCs w:val="false"/>
              <w:lang w:eastAsia="en-US"/>
            </w:rPr>
            <w:t xml:space="preserve">В медицинских организациях Брянской области проведено обучение (инструктирование) сотрудников по вопросам обеспечения доступности для инвалидов объектов и оказания необходимой помощи. В каждой медицинской организации определены сотрудники, ответственные за сопровождение при перемещении по территории здания инвалидов, имеющих стойкие расстройства функций зрения и самостоятельного передвижения, и оказания помощи в получении необходимых медицинских услуг. </w:t>
          </w:r>
        </w:p>
        <w:p>
          <w:pPr>
            <w:pStyle w:val="Style35"/>
            <w:shd w:val="clear" w:color="auto" w:fill="FFFFFF"/>
            <w:ind w:firstLine="709"/>
            <w:jc w:val="both"/>
            <w:rPr>
              <w:b w:val="false"/>
              <w:b w:val="false"/>
              <w:bCs w:val="false"/>
              <w:sz w:val="28"/>
              <w:szCs w:val="28"/>
            </w:rPr>
          </w:pPr>
          <w:r>
            <w:rPr>
              <w:rFonts w:eastAsia="Calibri"/>
              <w:b w:val="false"/>
              <w:bCs w:val="false"/>
              <w:sz w:val="28"/>
              <w:szCs w:val="28"/>
              <w:lang w:eastAsia="en-US"/>
            </w:rPr>
            <w:t>Для достижения максимальных значений показателей, характеризующих критерии оценки качества условий оказания услуг, учреждениям рекомендовано:</w:t>
          </w:r>
        </w:p>
        <w:p>
          <w:pPr>
            <w:pStyle w:val="Style35"/>
            <w:numPr>
              <w:ilvl w:val="0"/>
              <w:numId w:val="25"/>
            </w:numPr>
            <w:tabs>
              <w:tab w:val="clear" w:pos="708"/>
              <w:tab w:val="left" w:pos="0" w:leader="none"/>
            </w:tabs>
            <w:spacing w:before="0" w:after="0"/>
            <w:ind w:left="707" w:hanging="283"/>
            <w:rPr>
              <w:sz w:val="28"/>
              <w:szCs w:val="28"/>
            </w:rPr>
          </w:pPr>
          <w:r>
            <w:rPr>
              <w:sz w:val="28"/>
              <w:szCs w:val="28"/>
            </w:rPr>
            <w:t xml:space="preserve">максимально приблизить открытость и доступность информации, размещенной на сайтах медицинских организаций, к реальным потребностям получателей услуг в сфере охраны здоровья в части полноты сведений, легкости и удобства пользования для граждан; </w:t>
          </w:r>
        </w:p>
        <w:p>
          <w:pPr>
            <w:pStyle w:val="Style35"/>
            <w:numPr>
              <w:ilvl w:val="0"/>
              <w:numId w:val="25"/>
            </w:numPr>
            <w:tabs>
              <w:tab w:val="clear" w:pos="708"/>
              <w:tab w:val="left" w:pos="0" w:leader="none"/>
            </w:tabs>
            <w:spacing w:before="0" w:after="0"/>
            <w:ind w:left="707" w:hanging="283"/>
            <w:rPr>
              <w:sz w:val="28"/>
              <w:szCs w:val="28"/>
            </w:rPr>
          </w:pPr>
          <w:r>
            <w:rPr>
              <w:sz w:val="28"/>
              <w:szCs w:val="28"/>
            </w:rPr>
            <w:t xml:space="preserve">привести в соответствие информацию, размещенную на информационных стендах в помещении учреждения здравоохранения, ее содержанию и порядку (форме), установленным нормативными правовыми актами.  </w:t>
          </w:r>
        </w:p>
        <w:p>
          <w:pPr>
            <w:pStyle w:val="Style35"/>
            <w:numPr>
              <w:ilvl w:val="0"/>
              <w:numId w:val="25"/>
            </w:numPr>
            <w:tabs>
              <w:tab w:val="clear" w:pos="708"/>
              <w:tab w:val="left" w:pos="0" w:leader="none"/>
            </w:tabs>
            <w:spacing w:before="0" w:after="0"/>
            <w:ind w:left="707" w:hanging="283"/>
            <w:rPr>
              <w:sz w:val="28"/>
              <w:szCs w:val="28"/>
            </w:rPr>
          </w:pPr>
          <w:r>
            <w:rPr>
              <w:sz w:val="28"/>
              <w:szCs w:val="28"/>
            </w:rPr>
            <w:t xml:space="preserve">изучить предложения пациентов услуг в части повышения комфортности условий, при возможности реализовать предложения. необходимо постоянно контролировать наличие мыла, полотенец и туалетной бумаги; контролировать санитарное состояние помещений учреждения здравоохранения. </w:t>
          </w:r>
        </w:p>
        <w:p>
          <w:pPr>
            <w:pStyle w:val="Style35"/>
            <w:numPr>
              <w:ilvl w:val="0"/>
              <w:numId w:val="25"/>
            </w:numPr>
            <w:tabs>
              <w:tab w:val="clear" w:pos="708"/>
              <w:tab w:val="left" w:pos="0" w:leader="none"/>
            </w:tabs>
            <w:spacing w:before="0" w:after="0"/>
            <w:ind w:left="707" w:hanging="283"/>
            <w:rPr>
              <w:sz w:val="28"/>
              <w:szCs w:val="28"/>
            </w:rPr>
          </w:pPr>
          <w:r>
            <w:rPr>
              <w:sz w:val="28"/>
              <w:szCs w:val="28"/>
            </w:rPr>
            <w:t xml:space="preserve">постоянно изучать мнение получателей услуг удовлетворенностью комфортностью предоставления услуг учреждения. </w:t>
          </w:r>
        </w:p>
        <w:p>
          <w:pPr>
            <w:pStyle w:val="Style35"/>
            <w:numPr>
              <w:ilvl w:val="0"/>
              <w:numId w:val="25"/>
            </w:numPr>
            <w:tabs>
              <w:tab w:val="clear" w:pos="708"/>
              <w:tab w:val="left" w:pos="0" w:leader="none"/>
            </w:tabs>
            <w:spacing w:before="0" w:after="0"/>
            <w:ind w:left="707" w:hanging="283"/>
            <w:rPr>
              <w:sz w:val="28"/>
              <w:szCs w:val="28"/>
            </w:rPr>
          </w:pPr>
          <w:r>
            <w:rPr>
              <w:sz w:val="28"/>
              <w:szCs w:val="28"/>
            </w:rPr>
            <w:t xml:space="preserve">расширить спектр возможных условий доступности позволяющих инвалидам получать услуги наравне с другими. </w:t>
          </w:r>
        </w:p>
        <w:p>
          <w:pPr>
            <w:pStyle w:val="Style35"/>
            <w:numPr>
              <w:ilvl w:val="0"/>
              <w:numId w:val="25"/>
            </w:numPr>
            <w:tabs>
              <w:tab w:val="clear" w:pos="708"/>
              <w:tab w:val="left" w:pos="0" w:leader="none"/>
            </w:tabs>
            <w:spacing w:before="0" w:after="0"/>
            <w:ind w:left="707" w:hanging="283"/>
            <w:rPr>
              <w:sz w:val="28"/>
              <w:szCs w:val="28"/>
            </w:rPr>
          </w:pPr>
          <w:r>
            <w:rPr>
              <w:sz w:val="28"/>
              <w:szCs w:val="28"/>
            </w:rPr>
            <w:t xml:space="preserve">обучать вновь принятых на работу сотрудников нормам этики и особенностям общения с людьми, нуждающимися в получении услуг. </w:t>
          </w:r>
        </w:p>
        <w:p>
          <w:pPr>
            <w:pStyle w:val="Style35"/>
            <w:numPr>
              <w:ilvl w:val="0"/>
              <w:numId w:val="25"/>
            </w:numPr>
            <w:tabs>
              <w:tab w:val="clear" w:pos="708"/>
              <w:tab w:val="left" w:pos="0" w:leader="none"/>
            </w:tabs>
            <w:spacing w:before="0" w:after="0"/>
            <w:ind w:left="707" w:hanging="283"/>
            <w:rPr>
              <w:sz w:val="28"/>
              <w:szCs w:val="28"/>
            </w:rPr>
          </w:pPr>
          <w:r>
            <w:rPr>
              <w:sz w:val="28"/>
              <w:szCs w:val="28"/>
            </w:rPr>
            <w:t xml:space="preserve">проводить постоянно изучение мнения получателей  по удовлетворенности качеством условий оказания услуг, результаты публиковать на официальном сайте. </w:t>
          </w:r>
        </w:p>
        <w:p>
          <w:pPr>
            <w:pStyle w:val="Style35"/>
            <w:numPr>
              <w:ilvl w:val="0"/>
              <w:numId w:val="25"/>
            </w:numPr>
            <w:tabs>
              <w:tab w:val="clear" w:pos="708"/>
              <w:tab w:val="left" w:pos="0" w:leader="none"/>
            </w:tabs>
            <w:ind w:left="707" w:hanging="283"/>
            <w:rPr>
              <w:sz w:val="28"/>
              <w:szCs w:val="28"/>
            </w:rPr>
          </w:pPr>
          <w:r>
            <w:rPr>
              <w:sz w:val="28"/>
              <w:szCs w:val="28"/>
            </w:rPr>
            <w:t xml:space="preserve">проводить обучение (инструктирование) вновь принятых работников организации  по сопровождению инвалидов в помещениях организации социальной сферы и на прилегающей территории. </w:t>
          </w:r>
        </w:p>
        <w:p>
          <w:pPr>
            <w:pStyle w:val="Normal"/>
            <w:shd w:val="clear" w:color="auto" w:fill="FFFFFF"/>
            <w:ind w:firstLine="709"/>
            <w:jc w:val="both"/>
            <w:rPr>
              <w:b w:val="false"/>
              <w:b w:val="false"/>
              <w:bCs w:val="false"/>
            </w:rPr>
          </w:pPr>
          <w:r>
            <w:rPr>
              <w:rFonts w:eastAsia="Calibri"/>
              <w:b w:val="false"/>
              <w:bCs w:val="false"/>
              <w:lang w:eastAsia="en-US"/>
            </w:rPr>
            <w:t xml:space="preserve">Информация о проведении независимой оценки качества оказания услуг медицинскими организациями Брянской области размещена в средствах массовой информации. </w:t>
          </w:r>
        </w:p>
        <w:p>
          <w:pPr>
            <w:pStyle w:val="Normal"/>
            <w:spacing w:lineRule="auto" w:line="240" w:before="0" w:after="0"/>
            <w:ind w:firstLine="709"/>
            <w:jc w:val="center"/>
            <w:rPr>
              <w:rFonts w:ascii="Times New Roman" w:hAnsi="Times New Roman" w:cs="Times New Roman"/>
              <w:sz w:val="28"/>
              <w:szCs w:val="28"/>
            </w:rPr>
          </w:pPr>
          <w:r>
            <w:rPr>
              <w:rFonts w:cs="Times New Roman"/>
              <w:b/>
              <w:bCs/>
              <w:sz w:val="28"/>
              <w:szCs w:val="28"/>
            </w:rPr>
            <w:t>ЗАКЛЮЧЕНИЕ</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Результаты мониторинга эффективности деятельности органов местного самоуправления городских округов и муниципальных районов Брянской области за 2018 год подтвердили значительную дифференциацию муниципальных образований по уровню социально-экономического развития.</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По итогам комплексной оценки, проведенной в соответствии с Методикой мониторинга эффективности деятельности органов местного самоуправления городских округов и муниципальных районов, утвержденной постановлением Правительства Российской Федерации от 17 декабря 2012 года № 1317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подпунктом «и» пункта 2 Указа Президента Российской Федерации от 7 мая 2012 года № 601 "Об основных направлениях совершенствования системы государственного управления», победителями признаны следующие муниципальные образования, получившие наибольшие суммарные оценки:</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Городские округа, муниципальные округа:</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1 место – город Брянск (К (комплексная оценка) = 0,58892)</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 xml:space="preserve">2 место – </w:t>
          </w:r>
          <w:r>
            <w:rPr>
              <w:rFonts w:cs="Times New Roman"/>
              <w:sz w:val="28"/>
              <w:szCs w:val="28"/>
              <w:lang w:val="ru-RU"/>
            </w:rPr>
            <w:t xml:space="preserve">город Стародуб (с 01.09.2020 года </w:t>
          </w:r>
          <w:r>
            <w:rPr>
              <w:rFonts w:cs="Times New Roman"/>
              <w:sz w:val="28"/>
              <w:szCs w:val="28"/>
            </w:rPr>
            <w:t>Стародубский муниципальный округ</w:t>
          </w:r>
          <w:r>
            <w:rPr>
              <w:rFonts w:cs="Times New Roman"/>
              <w:sz w:val="28"/>
              <w:szCs w:val="28"/>
            </w:rPr>
            <w:t>)</w:t>
          </w:r>
          <w:r>
            <w:rPr>
              <w:rFonts w:cs="Times New Roman"/>
              <w:sz w:val="28"/>
              <w:szCs w:val="28"/>
            </w:rPr>
            <w:t xml:space="preserve">  (К = 0,58564)</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Муниципальные районы:</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1 место – Суземский район (К (комплексная оценка) = 0,58523)</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2 место – Трубчевский район (К = 0,55666)</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3 место – Навлинский район (К = 0,54766)</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r>
        </w:p>
        <w:p>
          <w:pPr>
            <w:pStyle w:val="Normal"/>
            <w:spacing w:lineRule="auto" w:line="240" w:before="0" w:after="0"/>
            <w:ind w:firstLine="709"/>
            <w:jc w:val="center"/>
            <w:rPr>
              <w:rFonts w:ascii="Times New Roman" w:hAnsi="Times New Roman" w:cs="Times New Roman"/>
              <w:sz w:val="28"/>
              <w:szCs w:val="28"/>
            </w:rPr>
          </w:pPr>
          <w:r>
            <w:rPr>
              <w:rFonts w:cs="Times New Roman"/>
              <w:b/>
              <w:bCs/>
              <w:i/>
              <w:iCs/>
              <w:sz w:val="28"/>
              <w:szCs w:val="28"/>
            </w:rPr>
            <w:t>РЕКОМЕНДАЦИИ</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t xml:space="preserve">В целях повышения эффективности деятельности органов местного самоуправления городских округов и муниципальных районов Брянской области  необходимо: </w:t>
          </w:r>
        </w:p>
        <w:p>
          <w:pPr>
            <w:pStyle w:val="Normal"/>
            <w:spacing w:lineRule="auto" w:line="240" w:before="0" w:after="0"/>
            <w:ind w:firstLine="709"/>
            <w:jc w:val="both"/>
            <w:rPr>
              <w:rFonts w:ascii="Times New Roman" w:hAnsi="Times New Roman" w:cs="Times New Roman"/>
              <w:sz w:val="28"/>
              <w:szCs w:val="28"/>
            </w:rPr>
          </w:pPr>
          <w:r>
            <w:rPr>
              <w:rFonts w:cs="Times New Roman"/>
              <w:sz w:val="28"/>
              <w:szCs w:val="28"/>
            </w:rPr>
          </w:r>
        </w:p>
        <w:p>
          <w:pPr>
            <w:pStyle w:val="Normal"/>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t>главам муниципальных образований принять меры для обеспечения положительной динамики показателей оценки эффективности деятельности органов местного самоуправления городских округов и муниципальных районов в 2020 году;</w:t>
          </w:r>
        </w:p>
        <w:p>
          <w:pPr>
            <w:pStyle w:val="Normal"/>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Normal"/>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t>руководителям органов местного самоуправления разработать и реализовывать программы по повышению результативности деятельности органов местного самоуправления и решению выявленных в ходе анализа проблем развития с установлением целевых индикаторов на плановый период;</w:t>
          </w:r>
        </w:p>
        <w:p>
          <w:pPr>
            <w:pStyle w:val="Normal"/>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Normal"/>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t>рассмотреть вопрос о внедрении системы оплаты труда муниципальных служащих органов местного самоуправления Брянской области, позволяющей устанавливать величину стимулирующих выплат в зависимости от достижения целевых значений показателей эффективности и результативности профессиональной служебной деятельности.</w:t>
          </w:r>
        </w:p>
        <w:p>
          <w:pPr>
            <w:pStyle w:val="Normal"/>
            <w:jc w:val="right"/>
            <w:rPr/>
          </w:pPr>
          <w:r>
            <w:rPr/>
            <w:t>Приложение 1</w:t>
          </w:r>
        </w:p>
        <w:p>
          <w:pPr>
            <w:pStyle w:val="Normal"/>
            <w:jc w:val="right"/>
            <w:rPr>
              <w:sz w:val="16"/>
              <w:szCs w:val="16"/>
            </w:rPr>
          </w:pPr>
          <w:r>
            <w:rPr>
              <w:sz w:val="16"/>
              <w:szCs w:val="16"/>
            </w:rPr>
          </w:r>
        </w:p>
        <w:p>
          <w:pPr>
            <w:pStyle w:val="Normal"/>
            <w:jc w:val="center"/>
            <w:rPr>
              <w:b/>
              <w:b/>
              <w:bCs/>
            </w:rPr>
          </w:pPr>
          <w:r>
            <w:rPr>
              <w:b/>
              <w:bCs/>
            </w:rPr>
            <w:t xml:space="preserve">Общая информация о городских округах и муниципальных районах Брянской области </w:t>
          </w:r>
        </w:p>
        <w:p>
          <w:pPr>
            <w:pStyle w:val="Normal"/>
            <w:jc w:val="center"/>
            <w:rPr>
              <w:b/>
              <w:b/>
              <w:bCs/>
              <w:sz w:val="20"/>
              <w:szCs w:val="20"/>
            </w:rPr>
          </w:pPr>
          <w:r>
            <w:rPr>
              <w:b/>
              <w:bCs/>
              <w:sz w:val="20"/>
              <w:szCs w:val="20"/>
            </w:rPr>
          </w:r>
        </w:p>
      </w:sdtContent>
    </w:sdt>
    <w:tbl>
      <w:tblPr>
        <w:tblW w:w="11012"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568"/>
        <w:gridCol w:w="1092"/>
        <w:gridCol w:w="1953"/>
        <w:gridCol w:w="1573"/>
        <w:gridCol w:w="2923"/>
        <w:gridCol w:w="2902"/>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4"/>
                <w:szCs w:val="24"/>
              </w:rPr>
            </w:pPr>
            <w:r>
              <w:rPr>
                <w:b/>
                <w:sz w:val="24"/>
                <w:szCs w:val="24"/>
              </w:rPr>
            </w:r>
          </w:p>
        </w:tc>
        <w:tc>
          <w:tcPr>
            <w:tcW w:w="304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0"/>
                <w:szCs w:val="20"/>
              </w:rPr>
            </w:pPr>
            <w:r>
              <w:rPr>
                <w:b/>
                <w:sz w:val="20"/>
                <w:szCs w:val="20"/>
              </w:rPr>
              <w:t>Наименование городского округа / муниципального района</w:t>
            </w:r>
          </w:p>
          <w:p>
            <w:pPr>
              <w:pStyle w:val="Normal"/>
              <w:widowControl w:val="false"/>
              <w:jc w:val="center"/>
              <w:rPr>
                <w:b/>
                <w:b/>
                <w:sz w:val="20"/>
                <w:szCs w:val="20"/>
              </w:rPr>
            </w:pPr>
            <w:r>
              <w:rPr>
                <w:b/>
                <w:sz w:val="20"/>
                <w:szCs w:val="20"/>
              </w:rPr>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szCs w:val="20"/>
              </w:rPr>
            </w:pPr>
            <w:r>
              <w:rPr>
                <w:b/>
                <w:sz w:val="20"/>
                <w:szCs w:val="20"/>
              </w:rPr>
              <w:t>Среднегодовая численность населения</w:t>
            </w:r>
          </w:p>
          <w:p>
            <w:pPr>
              <w:pStyle w:val="Normal"/>
              <w:widowControl w:val="false"/>
              <w:jc w:val="center"/>
              <w:rPr>
                <w:b/>
                <w:b/>
                <w:sz w:val="20"/>
                <w:szCs w:val="20"/>
              </w:rPr>
            </w:pPr>
            <w:r>
              <w:rPr>
                <w:b/>
                <w:sz w:val="20"/>
                <w:szCs w:val="20"/>
              </w:rPr>
              <w:t>за 2019 год, чел.</w:t>
            </w:r>
          </w:p>
        </w:tc>
        <w:tc>
          <w:tcPr>
            <w:tcW w:w="292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szCs w:val="20"/>
              </w:rPr>
            </w:pPr>
            <w:r>
              <w:rPr>
                <w:b/>
                <w:sz w:val="20"/>
                <w:szCs w:val="20"/>
              </w:rPr>
              <w:t>Административное значение/Административный центр муниципального района</w:t>
            </w:r>
          </w:p>
        </w:tc>
        <w:tc>
          <w:tcPr>
            <w:tcW w:w="29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szCs w:val="20"/>
              </w:rPr>
            </w:pPr>
            <w:r>
              <w:rPr>
                <w:b/>
                <w:sz w:val="20"/>
                <w:szCs w:val="20"/>
              </w:rPr>
              <w:t>Адрес официального сайта муниципального образования</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62B00C0">
                      <wp:extent cx="434340" cy="542290"/>
                      <wp:effectExtent l="95250" t="95250" r="101600" b="88900"/>
                      <wp:docPr id="6" name="il_fi" descr="http://ksivi.org/downloads/bryansk_2c5.jpg"/>
                      <a:graphic xmlns:a="http://schemas.openxmlformats.org/drawingml/2006/main">
                        <a:graphicData uri="http://schemas.openxmlformats.org/drawingml/2006/picture">
                          <pic:pic xmlns:pic="http://schemas.openxmlformats.org/drawingml/2006/picture">
                            <pic:nvPicPr>
                              <pic:cNvPr id="0" name="il_fi" descr="http://ksivi.org/downloads/bryansk_2c5.jpg"/>
                              <pic:cNvPicPr/>
                            </pic:nvPicPr>
                            <pic:blipFill>
                              <a:blip r:embed="rId4"/>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l_fi" stroked="f" style="position:absolute;margin-left:0pt;margin-top:-57.2pt;width:34.1pt;height:42.6pt;v-text-anchor:middle;mso-position-vertical:top" wp14:anchorId="562B00C0" type="shapetype_75">
                      <v:imagedata r:id="rId4"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Городской округ</w:t>
            </w:r>
          </w:p>
          <w:p>
            <w:pPr>
              <w:pStyle w:val="Normal"/>
              <w:widowControl w:val="false"/>
              <w:jc w:val="center"/>
              <w:rPr>
                <w:sz w:val="24"/>
                <w:szCs w:val="24"/>
              </w:rPr>
            </w:pPr>
            <w:r>
              <w:rPr>
                <w:sz w:val="24"/>
                <w:szCs w:val="24"/>
              </w:rPr>
              <w:t>Брянск</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420444</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rPr>
            </w:pPr>
            <w:r>
              <w:rPr>
                <w:sz w:val="24"/>
                <w:szCs w:val="24"/>
              </w:rPr>
              <w:t>административный центр Брянской области и Брянского района</w:t>
            </w:r>
          </w:p>
          <w:p>
            <w:pPr>
              <w:pStyle w:val="Normal"/>
              <w:widowControl w:val="false"/>
              <w:jc w:val="both"/>
              <w:rPr>
                <w:sz w:val="24"/>
                <w:szCs w:val="24"/>
              </w:rPr>
            </w:pPr>
            <w:r>
              <w:rPr>
                <w:sz w:val="24"/>
                <w:szCs w:val="24"/>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hyperlink r:id="rId5">
              <w:r>
                <w:rPr>
                  <w:b/>
                  <w:bCs/>
                  <w:sz w:val="20"/>
                  <w:szCs w:val="20"/>
                  <w:lang w:val="en-US"/>
                </w:rPr>
                <w:t>http://www.bryansk032.ru/</w:t>
              </w:r>
            </w:hyperlink>
          </w:p>
          <w:p>
            <w:pPr>
              <w:pStyle w:val="Normal"/>
              <w:widowControl w:val="false"/>
              <w:jc w:val="center"/>
              <w:rPr>
                <w:sz w:val="20"/>
                <w:szCs w:val="20"/>
              </w:rPr>
            </w:pPr>
            <w:r>
              <w:rPr>
                <w:sz w:val="20"/>
                <w:szCs w:val="20"/>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139EC04">
                      <wp:extent cx="434340" cy="542290"/>
                      <wp:effectExtent l="95250" t="95250" r="101600" b="88900"/>
                      <wp:docPr id="7" name="Рисунок 14" descr="alt"/>
                      <a:graphic xmlns:a="http://schemas.openxmlformats.org/drawingml/2006/main">
                        <a:graphicData uri="http://schemas.openxmlformats.org/drawingml/2006/picture">
                          <pic:pic xmlns:pic="http://schemas.openxmlformats.org/drawingml/2006/picture">
                            <pic:nvPicPr>
                              <pic:cNvPr id="1" name="Рисунок 14" descr="alt"/>
                              <pic:cNvPicPr/>
                            </pic:nvPicPr>
                            <pic:blipFill>
                              <a:blip r:embed="rId6"/>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4" stroked="f" style="position:absolute;margin-left:0pt;margin-top:-57.2pt;width:34.1pt;height:42.6pt;v-text-anchor:middle;mso-position-vertical:top" wp14:anchorId="1139EC04" type="shapetype_75">
                      <v:imagedata r:id="rId7"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Городской округ Клинцы</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69909</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rPr>
            </w:pPr>
            <w:r>
              <w:rPr>
                <w:sz w:val="24"/>
                <w:szCs w:val="24"/>
              </w:rPr>
              <w:t>административный центр Клинцовского района и Клинцовского городского округа</w:t>
            </w:r>
          </w:p>
          <w:p>
            <w:pPr>
              <w:pStyle w:val="Normal"/>
              <w:widowControl w:val="false"/>
              <w:jc w:val="both"/>
              <w:rPr>
                <w:sz w:val="24"/>
                <w:szCs w:val="24"/>
              </w:rPr>
            </w:pPr>
            <w:r>
              <w:rPr>
                <w:sz w:val="24"/>
                <w:szCs w:val="24"/>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8">
              <w:r>
                <w:rPr>
                  <w:b/>
                  <w:bCs/>
                  <w:sz w:val="20"/>
                  <w:szCs w:val="20"/>
                  <w:lang w:val="en-US"/>
                </w:rPr>
                <w:t>http://www.klinci.ru/</w:t>
              </w:r>
            </w:hyperlink>
          </w:p>
          <w:p>
            <w:pPr>
              <w:pStyle w:val="Normal"/>
              <w:widowControl w:val="false"/>
              <w:rPr>
                <w:sz w:val="20"/>
                <w:szCs w:val="20"/>
              </w:rPr>
            </w:pPr>
            <w:r>
              <w:rPr>
                <w:sz w:val="20"/>
                <w:szCs w:val="20"/>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3</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53FA747">
                      <wp:extent cx="434340" cy="542290"/>
                      <wp:effectExtent l="95250" t="95250" r="101600" b="88900"/>
                      <wp:docPr id="8" name="Рисунок 7" descr="alt"/>
                      <a:graphic xmlns:a="http://schemas.openxmlformats.org/drawingml/2006/main">
                        <a:graphicData uri="http://schemas.openxmlformats.org/drawingml/2006/picture">
                          <pic:pic xmlns:pic="http://schemas.openxmlformats.org/drawingml/2006/picture">
                            <pic:nvPicPr>
                              <pic:cNvPr id="2" name="Рисунок 7" descr="alt"/>
                              <pic:cNvPicPr/>
                            </pic:nvPicPr>
                            <pic:blipFill>
                              <a:blip r:embed="rId9"/>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7" stroked="f" style="position:absolute;margin-left:0pt;margin-top:-57.2pt;width:34.1pt;height:42.6pt;v-text-anchor:middle;mso-position-vertical:top" wp14:anchorId="653FA747" type="shapetype_75">
                      <v:imagedata r:id="rId10"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 xml:space="preserve"> </w:t>
            </w:r>
            <w:r>
              <w:rPr>
                <w:sz w:val="24"/>
                <w:szCs w:val="24"/>
              </w:rPr>
              <w:t>Новозыбковский городской округ</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50493</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rPr>
            </w:pPr>
            <w:r>
              <w:rPr>
                <w:sz w:val="24"/>
                <w:szCs w:val="24"/>
              </w:rPr>
            </w:r>
          </w:p>
          <w:p>
            <w:pPr>
              <w:pStyle w:val="Normal"/>
              <w:widowControl w:val="false"/>
              <w:jc w:val="both"/>
              <w:rPr>
                <w:sz w:val="24"/>
                <w:szCs w:val="24"/>
              </w:rPr>
            </w:pPr>
            <w:r>
              <w:rPr>
                <w:sz w:val="24"/>
                <w:szCs w:val="24"/>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b/>
                <w:b/>
                <w:bCs/>
                <w:sz w:val="20"/>
                <w:szCs w:val="20"/>
                <w:u w:val="single"/>
                <w:lang w:val="en-US"/>
              </w:rPr>
            </w:pPr>
            <w:hyperlink r:id="rId11">
              <w:r>
                <w:rPr>
                  <w:b/>
                  <w:bCs/>
                  <w:sz w:val="20"/>
                  <w:szCs w:val="20"/>
                  <w:lang w:val="en-US"/>
                </w:rPr>
                <w:t>http://zibkoe.ucoz.ru/</w:t>
              </w:r>
            </w:hyperlink>
          </w:p>
        </w:tc>
      </w:tr>
      <w:tr>
        <w:trPr>
          <w:trHeight w:val="965"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4</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48EBE2A3">
                      <wp:extent cx="434340" cy="542290"/>
                      <wp:effectExtent l="95250" t="95250" r="101600" b="88900"/>
                      <wp:docPr id="9" name="Рисунок 9" descr="http://www.hrono.ru/heraldicum/russia/subjects/towns/images/selco.gif"/>
                      <a:graphic xmlns:a="http://schemas.openxmlformats.org/drawingml/2006/main">
                        <a:graphicData uri="http://schemas.openxmlformats.org/drawingml/2006/picture">
                          <pic:pic xmlns:pic="http://schemas.openxmlformats.org/drawingml/2006/picture">
                            <pic:nvPicPr>
                              <pic:cNvPr id="3" name="Рисунок 9" descr="http://www.hrono.ru/heraldicum/russia/subjects/towns/images/selco.gif"/>
                              <pic:cNvPicPr/>
                            </pic:nvPicPr>
                            <pic:blipFill>
                              <a:blip r:embed="rId12"/>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9" stroked="f" style="position:absolute;margin-left:0pt;margin-top:-57.2pt;width:34.1pt;height:42.6pt;v-text-anchor:middle;mso-position-vertical:top" wp14:anchorId="48EBE2A3" type="shapetype_75">
                      <v:imagedata r:id="rId13"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Городской округ Сельцо</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16368</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rPr>
            </w:pPr>
            <w:r>
              <w:rPr>
                <w:sz w:val="24"/>
                <w:szCs w:val="24"/>
              </w:rPr>
              <w:t>город областного подчинения</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14">
              <w:r>
                <w:rPr>
                  <w:b/>
                  <w:bCs/>
                  <w:sz w:val="20"/>
                  <w:szCs w:val="20"/>
                  <w:lang w:val="en-US"/>
                </w:rPr>
                <w:t>http://www.admsel.ru/</w:t>
              </w:r>
            </w:hyperlink>
          </w:p>
          <w:p>
            <w:pPr>
              <w:pStyle w:val="Normal"/>
              <w:widowControl w:val="false"/>
              <w:rPr>
                <w:sz w:val="20"/>
                <w:szCs w:val="20"/>
              </w:rPr>
            </w:pPr>
            <w:r>
              <w:rPr>
                <w:sz w:val="20"/>
                <w:szCs w:val="20"/>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5</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6295CA4">
                      <wp:extent cx="434340" cy="542290"/>
                      <wp:effectExtent l="95250" t="95250" r="101600" b="88900"/>
                      <wp:docPr id="10" name="Рисунок 10" descr="http://russia.yaxy.ru/rus/base/ru-gb/ImgPrv/182.jpg"/>
                      <a:graphic xmlns:a="http://schemas.openxmlformats.org/drawingml/2006/main">
                        <a:graphicData uri="http://schemas.openxmlformats.org/drawingml/2006/picture">
                          <pic:pic xmlns:pic="http://schemas.openxmlformats.org/drawingml/2006/picture">
                            <pic:nvPicPr>
                              <pic:cNvPr id="4" name="Рисунок 10" descr="http://russia.yaxy.ru/rus/base/ru-gb/ImgPrv/182.jpg"/>
                              <pic:cNvPicPr/>
                            </pic:nvPicPr>
                            <pic:blipFill>
                              <a:blip r:embed="rId15"/>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0" stroked="f" style="position:absolute;margin-left:0pt;margin-top:-57.2pt;width:34.1pt;height:42.6pt;v-text-anchor:middle;mso-position-vertical:top" wp14:anchorId="06295CA4" type="shapetype_75">
                      <v:imagedata r:id="rId15"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Городской округ Фокино</w:t>
            </w:r>
          </w:p>
          <w:p>
            <w:pPr>
              <w:pStyle w:val="Normal"/>
              <w:widowControl w:val="false"/>
              <w:jc w:val="center"/>
              <w:rPr>
                <w:sz w:val="24"/>
                <w:szCs w:val="24"/>
              </w:rPr>
            </w:pPr>
            <w:r>
              <w:rPr>
                <w:sz w:val="24"/>
                <w:szCs w:val="24"/>
              </w:rPr>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12759</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rPr>
            </w:pPr>
            <w:r>
              <w:rPr>
                <w:sz w:val="24"/>
                <w:szCs w:val="24"/>
              </w:rPr>
              <w:t>самостоятельное муниципальное образование - городского округа в составе Брянской области, находился в подчинении Дятьковскому району</w:t>
            </w:r>
          </w:p>
          <w:p>
            <w:pPr>
              <w:pStyle w:val="Normal"/>
              <w:widowControl w:val="false"/>
              <w:jc w:val="both"/>
              <w:rPr>
                <w:sz w:val="24"/>
                <w:szCs w:val="24"/>
              </w:rPr>
            </w:pPr>
            <w:r>
              <w:rPr>
                <w:sz w:val="24"/>
                <w:szCs w:val="24"/>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16">
              <w:r>
                <w:rPr>
                  <w:b/>
                  <w:bCs/>
                  <w:sz w:val="20"/>
                  <w:szCs w:val="20"/>
                  <w:lang w:val="en-US"/>
                </w:rPr>
                <w:t>http://admfokino.narod.ru/</w:t>
              </w:r>
            </w:hyperlink>
          </w:p>
          <w:p>
            <w:pPr>
              <w:pStyle w:val="Normal"/>
              <w:widowControl w:val="false"/>
              <w:rPr>
                <w:sz w:val="20"/>
                <w:szCs w:val="20"/>
              </w:rPr>
            </w:pPr>
            <w:r>
              <w:rPr>
                <w:sz w:val="20"/>
                <w:szCs w:val="20"/>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6</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2190251">
                      <wp:extent cx="434340" cy="542290"/>
                      <wp:effectExtent l="95250" t="95250" r="101600" b="88900"/>
                      <wp:docPr id="11" name="Рисунок 8" descr="alt"/>
                      <a:graphic xmlns:a="http://schemas.openxmlformats.org/drawingml/2006/main">
                        <a:graphicData uri="http://schemas.openxmlformats.org/drawingml/2006/picture">
                          <pic:pic xmlns:pic="http://schemas.openxmlformats.org/drawingml/2006/picture">
                            <pic:nvPicPr>
                              <pic:cNvPr id="5" name="Рисунок 8" descr="alt"/>
                              <pic:cNvPicPr/>
                            </pic:nvPicPr>
                            <pic:blipFill>
                              <a:blip r:embed="rId17"/>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 stroked="f" style="position:absolute;margin-left:0pt;margin-top:-57.2pt;width:34.1pt;height:42.6pt;v-text-anchor:middle;mso-position-vertical:top" wp14:anchorId="02190251" type="shapetype_75">
                      <v:imagedata r:id="rId18"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 xml:space="preserve"> </w:t>
            </w:r>
            <w:r>
              <w:rPr>
                <w:sz w:val="24"/>
                <w:szCs w:val="24"/>
              </w:rPr>
              <w:t>Стародубский муниципальный округ</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36368</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19">
              <w:r>
                <w:rPr>
                  <w:b/>
                  <w:bCs/>
                  <w:sz w:val="20"/>
                  <w:szCs w:val="20"/>
                  <w:lang w:val="en-US"/>
                </w:rPr>
                <w:t>http://</w:t>
              </w:r>
            </w:hyperlink>
            <w:hyperlink r:id="rId20">
              <w:r>
                <w:rPr>
                  <w:b/>
                  <w:bCs/>
                  <w:sz w:val="20"/>
                  <w:szCs w:val="20"/>
                </w:rPr>
                <w:t>город-</w:t>
              </w:r>
            </w:hyperlink>
            <w:hyperlink r:id="rId21">
              <w:r>
                <w:rPr>
                  <w:b/>
                  <w:bCs/>
                  <w:sz w:val="20"/>
                  <w:szCs w:val="20"/>
                </w:rPr>
                <w:t>стародуб.рф</w:t>
              </w:r>
            </w:hyperlink>
            <w:hyperlink r:id="rId22">
              <w:r>
                <w:rPr>
                  <w:b/>
                  <w:bCs/>
                  <w:sz w:val="20"/>
                  <w:szCs w:val="20"/>
                </w:rPr>
                <w:t>/</w:t>
              </w:r>
            </w:hyperlink>
          </w:p>
          <w:p>
            <w:pPr>
              <w:pStyle w:val="Normal"/>
              <w:widowControl w:val="false"/>
              <w:rPr>
                <w:sz w:val="24"/>
                <w:szCs w:val="24"/>
              </w:rPr>
            </w:pPr>
            <w:r>
              <w:rPr>
                <w:sz w:val="24"/>
                <w:szCs w:val="24"/>
              </w:rPr>
            </w:r>
          </w:p>
          <w:p>
            <w:pPr>
              <w:pStyle w:val="Normal"/>
              <w:widowControl w:val="false"/>
              <w:jc w:val="center"/>
              <w:rPr>
                <w:sz w:val="24"/>
                <w:szCs w:val="24"/>
              </w:rPr>
            </w:pPr>
            <w:r>
              <w:rPr>
                <w:sz w:val="24"/>
                <w:szCs w:val="24"/>
              </w:rPr>
            </w:r>
          </w:p>
          <w:p>
            <w:pPr>
              <w:pStyle w:val="Normal"/>
              <w:widowControl w:val="false"/>
              <w:jc w:val="center"/>
              <w:rPr>
                <w:sz w:val="24"/>
                <w:szCs w:val="24"/>
              </w:rPr>
            </w:pPr>
            <w:r>
              <w:rPr>
                <w:sz w:val="24"/>
                <w:szCs w:val="24"/>
              </w:rPr>
            </w:r>
          </w:p>
        </w:tc>
      </w:tr>
      <w:tr>
        <w:trPr>
          <w:trHeight w:val="84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7</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9AC053E">
                      <wp:extent cx="434340" cy="542290"/>
                      <wp:effectExtent l="95250" t="95250" r="101600" b="88900"/>
                      <wp:docPr id="12" name="Рисунок 14" descr="alt"/>
                      <a:graphic xmlns:a="http://schemas.openxmlformats.org/drawingml/2006/main">
                        <a:graphicData uri="http://schemas.openxmlformats.org/drawingml/2006/picture">
                          <pic:pic xmlns:pic="http://schemas.openxmlformats.org/drawingml/2006/picture">
                            <pic:nvPicPr>
                              <pic:cNvPr id="6" name="Рисунок 14" descr="alt"/>
                              <pic:cNvPicPr/>
                            </pic:nvPicPr>
                            <pic:blipFill>
                              <a:blip r:embed="rId23"/>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4" stroked="f" style="position:absolute;margin-left:0pt;margin-top:-57.2pt;width:34.1pt;height:42.6pt;v-text-anchor:middle;mso-position-vertical:top" wp14:anchorId="09AC053E" type="shapetype_75">
                      <v:imagedata r:id="rId24"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Брасовский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18973</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 Локоть</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25">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brasadmin</w:t>
              </w:r>
              <w:r>
                <w:rPr>
                  <w:b/>
                  <w:bCs/>
                  <w:sz w:val="20"/>
                  <w:szCs w:val="20"/>
                </w:rPr>
                <w:t>.</w:t>
              </w:r>
              <w:r>
                <w:rPr>
                  <w:b/>
                  <w:bCs/>
                  <w:sz w:val="20"/>
                  <w:szCs w:val="20"/>
                  <w:lang w:val="en-US"/>
                </w:rPr>
                <w:t>org</w:t>
              </w:r>
              <w:r>
                <w:rPr>
                  <w:b/>
                  <w:bCs/>
                  <w:sz w:val="20"/>
                  <w:szCs w:val="20"/>
                </w:rPr>
                <w:t>/</w:t>
              </w:r>
            </w:hyperlink>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8</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83CE7A6">
                      <wp:extent cx="434340" cy="542290"/>
                      <wp:effectExtent l="95250" t="95250" r="101600" b="88900"/>
                      <wp:docPr id="13" name="Рисунок 15" descr="alt"/>
                      <a:graphic xmlns:a="http://schemas.openxmlformats.org/drawingml/2006/main">
                        <a:graphicData uri="http://schemas.openxmlformats.org/drawingml/2006/picture">
                          <pic:pic xmlns:pic="http://schemas.openxmlformats.org/drawingml/2006/picture">
                            <pic:nvPicPr>
                              <pic:cNvPr id="7" name="Рисунок 15" descr="alt"/>
                              <pic:cNvPicPr/>
                            </pic:nvPicPr>
                            <pic:blipFill>
                              <a:blip r:embed="rId26"/>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5" stroked="f" style="position:absolute;margin-left:0pt;margin-top:-57.2pt;width:34.1pt;height:42.6pt;v-text-anchor:middle;mso-position-vertical:top" wp14:anchorId="083CE7A6" type="shapetype_75">
                      <v:imagedata r:id="rId26"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Брянский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bCs/>
                <w:sz w:val="24"/>
                <w:szCs w:val="24"/>
                <w:lang w:eastAsia="en-US"/>
              </w:rPr>
              <w:t>62883</w:t>
            </w:r>
          </w:p>
          <w:p>
            <w:pPr>
              <w:pStyle w:val="Normal"/>
              <w:widowControl w:val="false"/>
              <w:spacing w:lineRule="auto" w:line="252"/>
              <w:jc w:val="center"/>
              <w:rPr>
                <w:sz w:val="24"/>
                <w:szCs w:val="24"/>
                <w:lang w:eastAsia="en-US"/>
              </w:rPr>
            </w:pPr>
            <w:r>
              <w:rPr>
                <w:sz w:val="24"/>
                <w:szCs w:val="24"/>
                <w:lang w:eastAsia="en-US"/>
              </w:rPr>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с. Глинищево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27">
              <w:r>
                <w:rPr>
                  <w:b/>
                  <w:bCs/>
                  <w:sz w:val="20"/>
                  <w:szCs w:val="20"/>
                  <w:lang w:val="en-US"/>
                </w:rPr>
                <w:t>http://www.admbr.ru/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9</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5A311EF">
                      <wp:extent cx="434340" cy="542290"/>
                      <wp:effectExtent l="95250" t="95250" r="101600" b="88900"/>
                      <wp:docPr id="14" name="Рисунок 16" descr="alt"/>
                      <a:graphic xmlns:a="http://schemas.openxmlformats.org/drawingml/2006/main">
                        <a:graphicData uri="http://schemas.openxmlformats.org/drawingml/2006/picture">
                          <pic:pic xmlns:pic="http://schemas.openxmlformats.org/drawingml/2006/picture">
                            <pic:nvPicPr>
                              <pic:cNvPr id="8" name="Рисунок 16" descr="alt"/>
                              <pic:cNvPicPr/>
                            </pic:nvPicPr>
                            <pic:blipFill>
                              <a:blip r:embed="rId28"/>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6" stroked="f" style="position:absolute;margin-left:0pt;margin-top:-57.2pt;width:34.1pt;height:42.6pt;v-text-anchor:middle;mso-position-vertical:top" wp14:anchorId="55A311EF" type="shapetype_75">
                      <v:imagedata r:id="rId29"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Выгоничский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19727</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Выгоничи</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30">
              <w:r>
                <w:rPr>
                  <w:b/>
                  <w:bCs/>
                  <w:sz w:val="20"/>
                  <w:szCs w:val="20"/>
                  <w:lang w:val="en-US"/>
                </w:rPr>
                <w:t>http://www.adminwr.ru/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10</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8EC9529">
                      <wp:extent cx="434340" cy="542290"/>
                      <wp:effectExtent l="95250" t="95250" r="101600" b="88900"/>
                      <wp:docPr id="15" name="Рисунок 13" descr="alt"/>
                      <a:graphic xmlns:a="http://schemas.openxmlformats.org/drawingml/2006/main">
                        <a:graphicData uri="http://schemas.openxmlformats.org/drawingml/2006/picture">
                          <pic:pic xmlns:pic="http://schemas.openxmlformats.org/drawingml/2006/picture">
                            <pic:nvPicPr>
                              <pic:cNvPr id="9" name="Рисунок 13" descr="alt"/>
                              <pic:cNvPicPr/>
                            </pic:nvPicPr>
                            <pic:blipFill>
                              <a:blip r:embed="rId31"/>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3" stroked="f" style="position:absolute;margin-left:0pt;margin-top:-57.2pt;width:34.1pt;height:42.6pt;v-text-anchor:middle;mso-position-vertical:top" wp14:anchorId="08EC9529" type="shapetype_75">
                      <v:imagedata r:id="rId31"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Гордеевский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10249</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с. Гордеевка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hyperlink r:id="rId32">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admgordeevka</w:t>
              </w:r>
              <w:r>
                <w:rPr>
                  <w:b/>
                  <w:bCs/>
                  <w:sz w:val="20"/>
                  <w:szCs w:val="20"/>
                </w:rPr>
                <w:t>.</w:t>
              </w:r>
              <w:r>
                <w:rPr>
                  <w:b/>
                  <w:bCs/>
                  <w:sz w:val="20"/>
                  <w:szCs w:val="20"/>
                  <w:lang w:val="en-US"/>
                </w:rPr>
                <w:t>ru</w:t>
              </w:r>
              <w:r>
                <w:rPr>
                  <w:b/>
                  <w:bCs/>
                  <w:sz w:val="20"/>
                  <w:szCs w:val="20"/>
                </w:rPr>
                <w:t>/</w:t>
              </w:r>
            </w:hyperlink>
          </w:p>
          <w:p>
            <w:pPr>
              <w:pStyle w:val="Normal"/>
              <w:widowControl w:val="false"/>
              <w:jc w:val="center"/>
              <w:rPr>
                <w:sz w:val="20"/>
                <w:szCs w:val="20"/>
              </w:rPr>
            </w:pPr>
            <w:r>
              <w:rPr>
                <w:sz w:val="20"/>
                <w:szCs w:val="20"/>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bidi w:val="0"/>
              <w:spacing w:before="0" w:after="0"/>
              <w:ind w:left="0" w:right="-170" w:hanging="0"/>
              <w:jc w:val="center"/>
              <w:rPr>
                <w:sz w:val="24"/>
                <w:szCs w:val="24"/>
              </w:rPr>
            </w:pPr>
            <w:r>
              <w:rPr>
                <w:sz w:val="24"/>
                <w:szCs w:val="24"/>
              </w:rPr>
              <w:t>11</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4217F0C">
                      <wp:extent cx="434340" cy="542290"/>
                      <wp:effectExtent l="95250" t="95250" r="101600" b="88900"/>
                      <wp:docPr id="16" name="Рисунок 17" descr="alt"/>
                      <a:graphic xmlns:a="http://schemas.openxmlformats.org/drawingml/2006/main">
                        <a:graphicData uri="http://schemas.openxmlformats.org/drawingml/2006/picture">
                          <pic:pic xmlns:pic="http://schemas.openxmlformats.org/drawingml/2006/picture">
                            <pic:nvPicPr>
                              <pic:cNvPr id="10" name="Рисунок 17" descr="alt"/>
                              <pic:cNvPicPr/>
                            </pic:nvPicPr>
                            <pic:blipFill>
                              <a:blip r:embed="rId33"/>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7" stroked="f" style="position:absolute;margin-left:0pt;margin-top:-57.2pt;width:34.1pt;height:42.6pt;v-text-anchor:middle;mso-position-vertical:top" wp14:anchorId="14217F0C" type="shapetype_75">
                      <v:imagedata r:id="rId33"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Дубровский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16795</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Дубровка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hyperlink r:id="rId34">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admdubrovka</w:t>
              </w:r>
              <w:r>
                <w:rPr>
                  <w:b/>
                  <w:bCs/>
                  <w:sz w:val="20"/>
                  <w:szCs w:val="20"/>
                </w:rPr>
                <w:t>.</w:t>
              </w:r>
              <w:r>
                <w:rPr>
                  <w:b/>
                  <w:bCs/>
                  <w:sz w:val="20"/>
                  <w:szCs w:val="20"/>
                  <w:lang w:val="en-US"/>
                </w:rPr>
                <w:t>ru</w:t>
              </w:r>
              <w:r>
                <w:rPr>
                  <w:b/>
                  <w:bCs/>
                  <w:sz w:val="20"/>
                  <w:szCs w:val="20"/>
                </w:rPr>
                <w:t>/</w:t>
              </w:r>
            </w:hyperlink>
          </w:p>
          <w:p>
            <w:pPr>
              <w:pStyle w:val="Normal"/>
              <w:widowControl w:val="false"/>
              <w:jc w:val="center"/>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12</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38558F1">
                      <wp:extent cx="434340" cy="542290"/>
                      <wp:effectExtent l="95250" t="95250" r="101600" b="88900"/>
                      <wp:docPr id="17" name="Рисунок 18" descr="alt"/>
                      <a:graphic xmlns:a="http://schemas.openxmlformats.org/drawingml/2006/main">
                        <a:graphicData uri="http://schemas.openxmlformats.org/drawingml/2006/picture">
                          <pic:pic xmlns:pic="http://schemas.openxmlformats.org/drawingml/2006/picture">
                            <pic:nvPicPr>
                              <pic:cNvPr id="11" name="Рисунок 18" descr="alt"/>
                              <pic:cNvPicPr/>
                            </pic:nvPicPr>
                            <pic:blipFill>
                              <a:blip r:embed="rId35"/>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8" stroked="f" style="position:absolute;margin-left:0pt;margin-top:-57.2pt;width:34.1pt;height:42.6pt;v-text-anchor:middle;mso-position-vertical:top" wp14:anchorId="638558F1" type="shapetype_75">
                      <v:imagedata r:id="rId36"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Дятьковский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57414</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Дятьково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hyperlink r:id="rId37">
              <w:r>
                <w:rPr>
                  <w:b/>
                  <w:bCs/>
                  <w:sz w:val="20"/>
                  <w:szCs w:val="20"/>
                  <w:lang w:val="en-US"/>
                </w:rPr>
                <w:t>http://admindtk.ru/</w:t>
              </w:r>
            </w:hyperlink>
          </w:p>
          <w:p>
            <w:pPr>
              <w:pStyle w:val="Normal"/>
              <w:widowControl w:val="false"/>
              <w:jc w:val="center"/>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13</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238F2F7">
                      <wp:extent cx="434340" cy="542290"/>
                      <wp:effectExtent l="95250" t="95250" r="101600" b="88900"/>
                      <wp:docPr id="18" name="Рисунок 19"/>
                      <a:graphic xmlns:a="http://schemas.openxmlformats.org/drawingml/2006/main">
                        <a:graphicData uri="http://schemas.openxmlformats.org/drawingml/2006/picture">
                          <pic:pic xmlns:pic="http://schemas.openxmlformats.org/drawingml/2006/picture">
                            <pic:nvPicPr>
                              <pic:cNvPr id="12" name="Рисунок 19" descr=""/>
                              <pic:cNvPicPr/>
                            </pic:nvPicPr>
                            <pic:blipFill>
                              <a:blip r:embed="rId38"/>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9" stroked="f" style="position:absolute;margin-left:0pt;margin-top:-57.2pt;width:34.1pt;height:42.6pt;v-text-anchor:middle;mso-position-vertical:top" wp14:anchorId="0238F2F7" type="shapetype_75">
                      <v:imagedata r:id="rId39"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Жирятинский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6785</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с. Жирятино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hyperlink r:id="rId40">
              <w:r>
                <w:rPr>
                  <w:b/>
                  <w:bCs/>
                  <w:sz w:val="20"/>
                  <w:szCs w:val="20"/>
                  <w:lang w:val="en-US"/>
                </w:rPr>
                <w:t>http://www.juratino.ru/</w:t>
              </w:r>
            </w:hyperlink>
          </w:p>
          <w:p>
            <w:pPr>
              <w:pStyle w:val="Normal"/>
              <w:widowControl w:val="false"/>
              <w:jc w:val="center"/>
              <w:rPr>
                <w:sz w:val="20"/>
                <w:szCs w:val="20"/>
              </w:rPr>
            </w:pPr>
            <w:r>
              <w:rPr>
                <w:sz w:val="20"/>
                <w:szCs w:val="20"/>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14</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333890BE">
                      <wp:extent cx="434340" cy="542290"/>
                      <wp:effectExtent l="95250" t="95250" r="101600" b="88900"/>
                      <wp:docPr id="19" name="Рисунок 86" descr="alt"/>
                      <a:graphic xmlns:a="http://schemas.openxmlformats.org/drawingml/2006/main">
                        <a:graphicData uri="http://schemas.openxmlformats.org/drawingml/2006/picture">
                          <pic:pic xmlns:pic="http://schemas.openxmlformats.org/drawingml/2006/picture">
                            <pic:nvPicPr>
                              <pic:cNvPr id="13" name="Рисунок 86" descr="alt"/>
                              <pic:cNvPicPr/>
                            </pic:nvPicPr>
                            <pic:blipFill>
                              <a:blip r:embed="rId41"/>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6" stroked="f" style="position:absolute;margin-left:0pt;margin-top:-57.2pt;width:34.1pt;height:42.6pt;v-text-anchor:middle;mso-position-vertical:top" wp14:anchorId="333890BE" type="shapetype_75">
                      <v:imagedata r:id="rId41"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Жуковский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33350</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Жуковка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42">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zhukadmin</w:t>
              </w:r>
              <w:r>
                <w:rPr>
                  <w:b/>
                  <w:bCs/>
                  <w:sz w:val="20"/>
                  <w:szCs w:val="20"/>
                </w:rPr>
                <w:t>.</w:t>
              </w:r>
              <w:r>
                <w:rPr>
                  <w:b/>
                  <w:bCs/>
                  <w:sz w:val="20"/>
                  <w:szCs w:val="20"/>
                  <w:lang w:val="en-US"/>
                </w:rPr>
                <w:t>com</w:t>
              </w:r>
              <w:r>
                <w:rPr>
                  <w:b/>
                  <w:bCs/>
                  <w:sz w:val="20"/>
                  <w:szCs w:val="20"/>
                </w:rPr>
                <w:t>/</w:t>
              </w:r>
            </w:hyperlink>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15</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2838794">
                      <wp:extent cx="434340" cy="542290"/>
                      <wp:effectExtent l="95250" t="95250" r="101600" b="88900"/>
                      <wp:docPr id="20" name="Рисунок 87" descr="alt"/>
                      <a:graphic xmlns:a="http://schemas.openxmlformats.org/drawingml/2006/main">
                        <a:graphicData uri="http://schemas.openxmlformats.org/drawingml/2006/picture">
                          <pic:pic xmlns:pic="http://schemas.openxmlformats.org/drawingml/2006/picture">
                            <pic:nvPicPr>
                              <pic:cNvPr id="14" name="Рисунок 87" descr="alt"/>
                              <pic:cNvPicPr/>
                            </pic:nvPicPr>
                            <pic:blipFill>
                              <a:blip r:embed="rId43"/>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7" stroked="f" style="position:absolute;margin-left:0pt;margin-top:-57.2pt;width:34.1pt;height:42.6pt;v-text-anchor:middle;mso-position-vertical:top" wp14:anchorId="02838794" type="shapetype_75">
                      <v:imagedata r:id="rId44"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Злынковский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12064</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Злынка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45">
              <w:r>
                <w:rPr>
                  <w:b/>
                  <w:bCs/>
                  <w:sz w:val="20"/>
                  <w:szCs w:val="20"/>
                  <w:lang w:val="en-US"/>
                </w:rPr>
                <w:t>http</w:t>
              </w:r>
              <w:r>
                <w:rPr>
                  <w:b/>
                  <w:bCs/>
                  <w:sz w:val="20"/>
                  <w:szCs w:val="20"/>
                </w:rPr>
                <w:t>://</w:t>
              </w:r>
              <w:r>
                <w:rPr>
                  <w:b/>
                  <w:bCs/>
                  <w:sz w:val="20"/>
                  <w:szCs w:val="20"/>
                  <w:lang w:val="en-US"/>
                </w:rPr>
                <w:t>zlynka</w:t>
              </w:r>
              <w:r>
                <w:rPr>
                  <w:b/>
                  <w:bCs/>
                  <w:sz w:val="20"/>
                  <w:szCs w:val="20"/>
                </w:rPr>
                <w:t>.</w:t>
              </w:r>
              <w:r>
                <w:rPr>
                  <w:b/>
                  <w:bCs/>
                  <w:sz w:val="20"/>
                  <w:szCs w:val="20"/>
                  <w:lang w:val="en-US"/>
                </w:rPr>
                <w:t>narod</w:t>
              </w:r>
              <w:r>
                <w:rPr>
                  <w:b/>
                  <w:bCs/>
                  <w:sz w:val="20"/>
                  <w:szCs w:val="20"/>
                </w:rPr>
                <w:t>.</w:t>
              </w:r>
              <w:r>
                <w:rPr>
                  <w:b/>
                  <w:bCs/>
                  <w:sz w:val="20"/>
                  <w:szCs w:val="20"/>
                  <w:lang w:val="en-US"/>
                </w:rPr>
                <w:t>ru</w:t>
              </w:r>
              <w:r>
                <w:rPr>
                  <w:b/>
                  <w:bCs/>
                  <w:sz w:val="20"/>
                  <w:szCs w:val="20"/>
                </w:rPr>
                <w:t>/</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16</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EB9537C">
                      <wp:extent cx="434340" cy="542290"/>
                      <wp:effectExtent l="95250" t="95250" r="101600" b="88900"/>
                      <wp:docPr id="21" name="Рисунок 88" descr="alt"/>
                      <a:graphic xmlns:a="http://schemas.openxmlformats.org/drawingml/2006/main">
                        <a:graphicData uri="http://schemas.openxmlformats.org/drawingml/2006/picture">
                          <pic:pic xmlns:pic="http://schemas.openxmlformats.org/drawingml/2006/picture">
                            <pic:nvPicPr>
                              <pic:cNvPr id="15" name="Рисунок 88" descr="alt"/>
                              <pic:cNvPicPr/>
                            </pic:nvPicPr>
                            <pic:blipFill>
                              <a:blip r:embed="rId46"/>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8" stroked="f" style="position:absolute;margin-left:0pt;margin-top:-57.2pt;width:34.1pt;height:42.6pt;v-text-anchor:middle;mso-position-vertical:top" wp14:anchorId="6EB9537C" type="shapetype_75">
                      <v:imagedata r:id="rId46"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Карачевский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31558</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Карачев</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47">
              <w:r>
                <w:rPr>
                  <w:b/>
                  <w:bCs/>
                  <w:sz w:val="20"/>
                  <w:szCs w:val="20"/>
                  <w:lang w:val="en-US"/>
                </w:rPr>
                <w:t>http://karadmin.ru/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17</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02C4A63">
                      <wp:extent cx="434340" cy="542290"/>
                      <wp:effectExtent l="95250" t="95250" r="101600" b="88900"/>
                      <wp:docPr id="22" name="Рисунок 89" descr="alt"/>
                      <a:graphic xmlns:a="http://schemas.openxmlformats.org/drawingml/2006/main">
                        <a:graphicData uri="http://schemas.openxmlformats.org/drawingml/2006/picture">
                          <pic:pic xmlns:pic="http://schemas.openxmlformats.org/drawingml/2006/picture">
                            <pic:nvPicPr>
                              <pic:cNvPr id="16" name="Рисунок 89" descr="alt"/>
                              <pic:cNvPicPr/>
                            </pic:nvPicPr>
                            <pic:blipFill>
                              <a:blip r:embed="rId48"/>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9" stroked="f" style="position:absolute;margin-left:0pt;margin-top:-57.2pt;width:34.1pt;height:42.6pt;v-text-anchor:middle;mso-position-vertical:top" wp14:anchorId="502C4A63" type="shapetype_75">
                      <v:imagedata r:id="rId48"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Клетнянский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17874</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Клетня</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49">
              <w:r>
                <w:rPr>
                  <w:b/>
                  <w:bCs/>
                  <w:sz w:val="20"/>
                  <w:szCs w:val="20"/>
                  <w:lang w:val="en-US"/>
                </w:rPr>
                <w:t>http://www.kletn.ru/</w:t>
              </w:r>
            </w:hyperlink>
          </w:p>
          <w:p>
            <w:pPr>
              <w:pStyle w:val="Normal"/>
              <w:widowControl w:val="false"/>
              <w:jc w:val="center"/>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18</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C79B38C">
                      <wp:extent cx="434340" cy="542290"/>
                      <wp:effectExtent l="95250" t="95250" r="101600" b="88900"/>
                      <wp:docPr id="23" name="Рисунок 90" descr="alt"/>
                      <a:graphic xmlns:a="http://schemas.openxmlformats.org/drawingml/2006/main">
                        <a:graphicData uri="http://schemas.openxmlformats.org/drawingml/2006/picture">
                          <pic:pic xmlns:pic="http://schemas.openxmlformats.org/drawingml/2006/picture">
                            <pic:nvPicPr>
                              <pic:cNvPr id="17" name="Рисунок 90" descr="alt"/>
                              <pic:cNvPicPr/>
                            </pic:nvPicPr>
                            <pic:blipFill>
                              <a:blip r:embed="rId50"/>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90" stroked="f" style="position:absolute;margin-left:0pt;margin-top:-57.2pt;width:34.1pt;height:42.6pt;v-text-anchor:middle;mso-position-vertical:top" wp14:anchorId="6C79B38C" type="shapetype_75">
                      <v:imagedata r:id="rId50"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Климовский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25371</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Климово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1">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kladm</w:t>
              </w:r>
              <w:r>
                <w:rPr>
                  <w:b/>
                  <w:bCs/>
                  <w:sz w:val="20"/>
                  <w:szCs w:val="20"/>
                </w:rPr>
                <w:t>.</w:t>
              </w:r>
              <w:r>
                <w:rPr>
                  <w:b/>
                  <w:bCs/>
                  <w:sz w:val="20"/>
                  <w:szCs w:val="20"/>
                  <w:lang w:val="en-US"/>
                </w:rPr>
                <w:t>ru</w:t>
              </w:r>
              <w:r>
                <w:rPr>
                  <w:b/>
                  <w:bCs/>
                  <w:sz w:val="20"/>
                  <w:szCs w:val="20"/>
                </w:rPr>
                <w:t>/</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19</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1BD243D">
                      <wp:extent cx="434340" cy="542290"/>
                      <wp:effectExtent l="95250" t="95250" r="101600" b="88900"/>
                      <wp:docPr id="24" name="Рисунок 85" descr="alt"/>
                      <a:graphic xmlns:a="http://schemas.openxmlformats.org/drawingml/2006/main">
                        <a:graphicData uri="http://schemas.openxmlformats.org/drawingml/2006/picture">
                          <pic:pic xmlns:pic="http://schemas.openxmlformats.org/drawingml/2006/picture">
                            <pic:nvPicPr>
                              <pic:cNvPr id="18" name="Рисунок 85" descr="alt"/>
                              <pic:cNvPicPr/>
                            </pic:nvPicPr>
                            <pic:blipFill>
                              <a:blip r:embed="rId52"/>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5" stroked="f" style="position:absolute;margin-left:0pt;margin-top:-57.2pt;width:34.1pt;height:42.6pt;v-text-anchor:middle;mso-position-vertical:top" wp14:anchorId="11BD243D" type="shapetype_75">
                      <v:imagedata r:id="rId52"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Клинцовский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17022</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Клинцы</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3">
              <w:r>
                <w:rPr>
                  <w:b/>
                  <w:bCs/>
                  <w:sz w:val="20"/>
                  <w:szCs w:val="20"/>
                  <w:lang w:val="en-US"/>
                </w:rPr>
                <w:t>http://www.klinrai.ru/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20</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20525884">
                      <wp:extent cx="434340" cy="542290"/>
                      <wp:effectExtent l="95250" t="95250" r="101600" b="88900"/>
                      <wp:docPr id="25" name="Рисунок 91" descr="&amp;Gcy;&amp;iecy;&amp;rcy;&amp;bcy;"/>
                      <a:graphic xmlns:a="http://schemas.openxmlformats.org/drawingml/2006/main">
                        <a:graphicData uri="http://schemas.openxmlformats.org/drawingml/2006/picture">
                          <pic:pic xmlns:pic="http://schemas.openxmlformats.org/drawingml/2006/picture">
                            <pic:nvPicPr>
                              <pic:cNvPr id="19" name="Рисунок 91" descr="&amp;Gcy;&amp;iecy;&amp;rcy;&amp;bcy;"/>
                              <pic:cNvPicPr/>
                            </pic:nvPicPr>
                            <pic:blipFill>
                              <a:blip r:embed="rId54"/>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91" stroked="f" style="position:absolute;margin-left:0pt;margin-top:-57.2pt;width:34.1pt;height:42.6pt;v-text-anchor:middle;mso-position-vertical:top" wp14:anchorId="20525884" type="shapetype_75">
                      <v:imagedata r:id="rId54"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Комаричский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16253</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Комаричи</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5">
              <w:r>
                <w:rPr>
                  <w:b/>
                  <w:bCs/>
                  <w:sz w:val="20"/>
                  <w:szCs w:val="20"/>
                  <w:lang w:val="en-US"/>
                </w:rPr>
                <w:t>http://adminkom.ru/</w:t>
              </w:r>
            </w:hyperlink>
          </w:p>
          <w:p>
            <w:pPr>
              <w:pStyle w:val="Normal"/>
              <w:widowControl w:val="false"/>
              <w:jc w:val="center"/>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21</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B77B863">
                      <wp:extent cx="434340" cy="542290"/>
                      <wp:effectExtent l="95250" t="95250" r="101600" b="88900"/>
                      <wp:docPr id="26" name="Рисунок 15" descr="alt"/>
                      <a:graphic xmlns:a="http://schemas.openxmlformats.org/drawingml/2006/main">
                        <a:graphicData uri="http://schemas.openxmlformats.org/drawingml/2006/picture">
                          <pic:pic xmlns:pic="http://schemas.openxmlformats.org/drawingml/2006/picture">
                            <pic:nvPicPr>
                              <pic:cNvPr id="20" name="Рисунок 15" descr="alt"/>
                              <pic:cNvPicPr/>
                            </pic:nvPicPr>
                            <pic:blipFill>
                              <a:blip r:embed="rId56"/>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5" stroked="f" style="position:absolute;margin-left:0pt;margin-top:-57.2pt;width:34.1pt;height:42.6pt;v-text-anchor:middle;mso-position-vertical:top" wp14:anchorId="1B77B863" type="shapetype_75">
                      <v:imagedata r:id="rId56"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Красногорский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11526</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Красная Гора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7">
              <w:r>
                <w:rPr>
                  <w:b/>
                  <w:bCs/>
                  <w:sz w:val="20"/>
                  <w:szCs w:val="20"/>
                  <w:lang w:val="en-US"/>
                </w:rPr>
                <w:t>http://www.krgadm.ru/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22</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46E456DE">
                      <wp:extent cx="434340" cy="542290"/>
                      <wp:effectExtent l="95250" t="95250" r="101600" b="88900"/>
                      <wp:docPr id="27" name="Рисунок 16" descr="alt"/>
                      <a:graphic xmlns:a="http://schemas.openxmlformats.org/drawingml/2006/main">
                        <a:graphicData uri="http://schemas.openxmlformats.org/drawingml/2006/picture">
                          <pic:pic xmlns:pic="http://schemas.openxmlformats.org/drawingml/2006/picture">
                            <pic:nvPicPr>
                              <pic:cNvPr id="21" name="Рисунок 16" descr="alt"/>
                              <pic:cNvPicPr/>
                            </pic:nvPicPr>
                            <pic:blipFill>
                              <a:blip r:embed="rId58"/>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6" stroked="f" style="position:absolute;margin-left:0pt;margin-top:-57.2pt;width:34.1pt;height:42.6pt;v-text-anchor:middle;mso-position-vertical:top" wp14:anchorId="46E456DE" type="shapetype_75">
                      <v:imagedata r:id="rId58"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Мглинский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16297</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Мглин</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9">
              <w:r>
                <w:rPr>
                  <w:b/>
                  <w:bCs/>
                  <w:sz w:val="20"/>
                  <w:szCs w:val="20"/>
                  <w:lang w:val="en-US"/>
                </w:rPr>
                <w:t>http://www.mgladm.ru/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23</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3BCC058E">
                      <wp:extent cx="434340" cy="542290"/>
                      <wp:effectExtent l="95250" t="95250" r="101600" b="88900"/>
                      <wp:docPr id="28" name="Рисунок 17"/>
                      <a:graphic xmlns:a="http://schemas.openxmlformats.org/drawingml/2006/main">
                        <a:graphicData uri="http://schemas.openxmlformats.org/drawingml/2006/picture">
                          <pic:pic xmlns:pic="http://schemas.openxmlformats.org/drawingml/2006/picture">
                            <pic:nvPicPr>
                              <pic:cNvPr id="22" name="Рисунок 17" descr=""/>
                              <pic:cNvPicPr/>
                            </pic:nvPicPr>
                            <pic:blipFill>
                              <a:blip r:embed="rId60"/>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7" stroked="f" style="position:absolute;margin-left:0pt;margin-top:-57.2pt;width:34.1pt;height:42.6pt;v-text-anchor:middle;mso-position-vertical:top" wp14:anchorId="3BCC058E" type="shapetype_75">
                      <v:imagedata r:id="rId61"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Навлинский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26170</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Навля</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62">
              <w:r>
                <w:rPr>
                  <w:b/>
                  <w:bCs/>
                  <w:sz w:val="20"/>
                  <w:szCs w:val="20"/>
                  <w:lang w:val="en-US"/>
                </w:rPr>
                <w:t>http</w:t>
              </w:r>
              <w:r>
                <w:rPr>
                  <w:b/>
                  <w:bCs/>
                  <w:sz w:val="20"/>
                  <w:szCs w:val="20"/>
                </w:rPr>
                <w:t>://</w:t>
              </w:r>
              <w:r>
                <w:rPr>
                  <w:b/>
                  <w:bCs/>
                  <w:sz w:val="20"/>
                  <w:szCs w:val="20"/>
                  <w:lang w:val="en-US"/>
                </w:rPr>
                <w:t>admnav</w:t>
              </w:r>
              <w:r>
                <w:rPr>
                  <w:b/>
                  <w:bCs/>
                  <w:sz w:val="20"/>
                  <w:szCs w:val="20"/>
                </w:rPr>
                <w:t>.</w:t>
              </w:r>
              <w:r>
                <w:rPr>
                  <w:b/>
                  <w:bCs/>
                  <w:sz w:val="20"/>
                  <w:szCs w:val="20"/>
                  <w:lang w:val="en-US"/>
                </w:rPr>
                <w:t>ru</w:t>
              </w:r>
              <w:r>
                <w:rPr>
                  <w:b/>
                  <w:bCs/>
                  <w:sz w:val="20"/>
                  <w:szCs w:val="20"/>
                </w:rPr>
                <w:t>/</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24</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2FE5D79A">
                      <wp:extent cx="434340" cy="542290"/>
                      <wp:effectExtent l="95250" t="95250" r="101600" b="88900"/>
                      <wp:docPr id="29" name="Рисунок 18" descr="&amp;Gcy;&amp;iecy;&amp;rcy;&amp;bcy;"/>
                      <a:graphic xmlns:a="http://schemas.openxmlformats.org/drawingml/2006/main">
                        <a:graphicData uri="http://schemas.openxmlformats.org/drawingml/2006/picture">
                          <pic:pic xmlns:pic="http://schemas.openxmlformats.org/drawingml/2006/picture">
                            <pic:nvPicPr>
                              <pic:cNvPr id="23" name="Рисунок 18" descr="&amp;Gcy;&amp;iecy;&amp;rcy;&amp;bcy;"/>
                              <pic:cNvPicPr/>
                            </pic:nvPicPr>
                            <pic:blipFill>
                              <a:blip r:embed="rId63"/>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8" stroked="f" style="position:absolute;margin-left:0pt;margin-top:-57.2pt;width:34.1pt;height:42.6pt;v-text-anchor:middle;mso-position-vertical:top" wp14:anchorId="2FE5D79A" type="shapetype_75">
                      <v:imagedata r:id="rId63"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Погарский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23035</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Погар</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64">
              <w:r>
                <w:rPr>
                  <w:b/>
                  <w:bCs/>
                  <w:sz w:val="20"/>
                  <w:szCs w:val="20"/>
                  <w:lang w:val="en-US"/>
                </w:rPr>
                <w:t>http://www.pogaradm.ru/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25</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E0A560B">
                      <wp:extent cx="434340" cy="542290"/>
                      <wp:effectExtent l="95250" t="95250" r="101600" b="88900"/>
                      <wp:docPr id="30" name="Рисунок 14"/>
                      <a:graphic xmlns:a="http://schemas.openxmlformats.org/drawingml/2006/main">
                        <a:graphicData uri="http://schemas.openxmlformats.org/drawingml/2006/picture">
                          <pic:pic xmlns:pic="http://schemas.openxmlformats.org/drawingml/2006/picture">
                            <pic:nvPicPr>
                              <pic:cNvPr id="24" name="Рисунок 14" descr=""/>
                              <pic:cNvPicPr/>
                            </pic:nvPicPr>
                            <pic:blipFill>
                              <a:blip r:embed="rId65"/>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4" stroked="f" style="position:absolute;margin-left:0pt;margin-top:-57.2pt;width:34.1pt;height:42.6pt;v-text-anchor:middle;mso-position-vertical:top" wp14:anchorId="7E0A560B" type="shapetype_75">
                      <v:imagedata r:id="rId65"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Почепский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37542</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Почеп</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66">
              <w:r>
                <w:rPr>
                  <w:b/>
                  <w:bCs/>
                  <w:sz w:val="20"/>
                  <w:szCs w:val="20"/>
                  <w:lang w:val="en-US"/>
                </w:rPr>
                <w:t>http://www.admpochep.ru/</w:t>
              </w:r>
            </w:hyperlink>
          </w:p>
          <w:p>
            <w:pPr>
              <w:pStyle w:val="Normal"/>
              <w:widowControl w:val="false"/>
              <w:rPr>
                <w:sz w:val="20"/>
                <w:szCs w:val="20"/>
              </w:rPr>
            </w:pPr>
            <w:r>
              <w:rPr>
                <w:sz w:val="20"/>
                <w:szCs w:val="20"/>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26</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FCB517F">
                      <wp:extent cx="434340" cy="542290"/>
                      <wp:effectExtent l="95250" t="95250" r="101600" b="88900"/>
                      <wp:docPr id="31" name="Рисунок 13"/>
                      <a:graphic xmlns:a="http://schemas.openxmlformats.org/drawingml/2006/main">
                        <a:graphicData uri="http://schemas.openxmlformats.org/drawingml/2006/picture">
                          <pic:pic xmlns:pic="http://schemas.openxmlformats.org/drawingml/2006/picture">
                            <pic:nvPicPr>
                              <pic:cNvPr id="25" name="Рисунок 13" descr=""/>
                              <pic:cNvPicPr/>
                            </pic:nvPicPr>
                            <pic:blipFill>
                              <a:blip r:embed="rId67"/>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3" stroked="f" style="position:absolute;margin-left:0pt;margin-top:-57.2pt;width:34.1pt;height:42.6pt;v-text-anchor:middle;mso-position-vertical:top" wp14:anchorId="5FCB517F" type="shapetype_75">
                      <v:imagedata r:id="rId68"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Рогнединский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6319</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Рогнедино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color w:val="FF0000"/>
                <w:sz w:val="20"/>
                <w:szCs w:val="20"/>
              </w:rPr>
            </w:pPr>
            <w:hyperlink r:id="rId69">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rognedino</w:t>
              </w:r>
              <w:r>
                <w:rPr>
                  <w:b/>
                  <w:bCs/>
                  <w:sz w:val="20"/>
                  <w:szCs w:val="20"/>
                </w:rPr>
                <w:t>.</w:t>
              </w:r>
              <w:r>
                <w:rPr>
                  <w:b/>
                  <w:bCs/>
                  <w:sz w:val="20"/>
                  <w:szCs w:val="20"/>
                  <w:lang w:val="en-US"/>
                </w:rPr>
                <w:t>ru</w:t>
              </w:r>
              <w:r>
                <w:rPr>
                  <w:b/>
                  <w:bCs/>
                  <w:sz w:val="20"/>
                  <w:szCs w:val="20"/>
                </w:rPr>
                <w:t>/</w:t>
              </w:r>
            </w:hyperlink>
          </w:p>
          <w:p>
            <w:pPr>
              <w:pStyle w:val="Normal"/>
              <w:widowControl w:val="false"/>
              <w:rPr>
                <w:color w:val="FF0000"/>
                <w:sz w:val="24"/>
                <w:szCs w:val="24"/>
              </w:rPr>
            </w:pPr>
            <w:r>
              <w:rPr>
                <w:color w:val="FF0000"/>
                <w:sz w:val="24"/>
                <w:szCs w:val="24"/>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27</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4543F31">
                      <wp:extent cx="434340" cy="542290"/>
                      <wp:effectExtent l="95250" t="95250" r="101600" b="88900"/>
                      <wp:docPr id="32" name="Рисунок 20" descr="alt"/>
                      <a:graphic xmlns:a="http://schemas.openxmlformats.org/drawingml/2006/main">
                        <a:graphicData uri="http://schemas.openxmlformats.org/drawingml/2006/picture">
                          <pic:pic xmlns:pic="http://schemas.openxmlformats.org/drawingml/2006/picture">
                            <pic:nvPicPr>
                              <pic:cNvPr id="26" name="Рисунок 20" descr="alt"/>
                              <pic:cNvPicPr/>
                            </pic:nvPicPr>
                            <pic:blipFill>
                              <a:blip r:embed="rId70"/>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0" stroked="f" style="position:absolute;margin-left:0pt;margin-top:-57.2pt;width:34.1pt;height:42.6pt;v-text-anchor:middle;mso-position-vertical:top" wp14:anchorId="74543F31" type="shapetype_75">
                      <v:imagedata r:id="rId71"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Севский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14561</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Севск</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color w:val="FF0000"/>
                <w:sz w:val="20"/>
                <w:szCs w:val="20"/>
              </w:rPr>
            </w:pPr>
            <w:hyperlink r:id="rId72">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sevskadm</w:t>
              </w:r>
              <w:r>
                <w:rPr>
                  <w:b/>
                  <w:bCs/>
                  <w:sz w:val="20"/>
                  <w:szCs w:val="20"/>
                </w:rPr>
                <w:t>.</w:t>
              </w:r>
              <w:r>
                <w:rPr>
                  <w:b/>
                  <w:bCs/>
                  <w:sz w:val="20"/>
                  <w:szCs w:val="20"/>
                  <w:lang w:val="en-US"/>
                </w:rPr>
                <w:t>ru</w:t>
              </w:r>
              <w:r>
                <w:rPr>
                  <w:b/>
                  <w:bCs/>
                  <w:sz w:val="20"/>
                  <w:szCs w:val="20"/>
                </w:rPr>
                <w:t>/</w:t>
              </w:r>
            </w:hyperlink>
          </w:p>
          <w:p>
            <w:pPr>
              <w:pStyle w:val="Normal"/>
              <w:widowControl w:val="false"/>
              <w:rPr>
                <w:color w:val="FF0000"/>
                <w:sz w:val="20"/>
                <w:szCs w:val="20"/>
              </w:rPr>
            </w:pPr>
            <w:r>
              <w:rPr>
                <w:color w:val="FF0000"/>
                <w:sz w:val="20"/>
                <w:szCs w:val="20"/>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28</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E5A0E79">
                      <wp:extent cx="434340" cy="542290"/>
                      <wp:effectExtent l="95250" t="95250" r="101600" b="88900"/>
                      <wp:docPr id="33" name="Рисунок 21" descr="alt"/>
                      <a:graphic xmlns:a="http://schemas.openxmlformats.org/drawingml/2006/main">
                        <a:graphicData uri="http://schemas.openxmlformats.org/drawingml/2006/picture">
                          <pic:pic xmlns:pic="http://schemas.openxmlformats.org/drawingml/2006/picture">
                            <pic:nvPicPr>
                              <pic:cNvPr id="27" name="Рисунок 21" descr="alt"/>
                              <pic:cNvPicPr/>
                            </pic:nvPicPr>
                            <pic:blipFill>
                              <a:blip r:embed="rId73"/>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1" stroked="f" style="position:absolute;margin-left:0pt;margin-top:-57.2pt;width:34.1pt;height:42.6pt;v-text-anchor:middle;mso-position-vertical:top" wp14:anchorId="7E5A0E79" type="shapetype_75">
                      <v:imagedata r:id="rId74"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Суземский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14886</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 Суземка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color w:val="FF0000"/>
                <w:sz w:val="20"/>
                <w:szCs w:val="20"/>
              </w:rPr>
            </w:pPr>
            <w:hyperlink r:id="rId75">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admsuzemka</w:t>
              </w:r>
              <w:r>
                <w:rPr>
                  <w:b/>
                  <w:bCs/>
                  <w:sz w:val="20"/>
                  <w:szCs w:val="20"/>
                </w:rPr>
                <w:t>.</w:t>
              </w:r>
              <w:r>
                <w:rPr>
                  <w:b/>
                  <w:bCs/>
                  <w:sz w:val="20"/>
                  <w:szCs w:val="20"/>
                  <w:lang w:val="en-US"/>
                </w:rPr>
                <w:t>ru</w:t>
              </w:r>
              <w:r>
                <w:rPr>
                  <w:b/>
                  <w:bCs/>
                  <w:sz w:val="20"/>
                  <w:szCs w:val="20"/>
                </w:rPr>
                <w:t>/</w:t>
              </w:r>
            </w:hyperlink>
          </w:p>
          <w:p>
            <w:pPr>
              <w:pStyle w:val="Normal"/>
              <w:widowControl w:val="false"/>
              <w:rPr>
                <w:color w:val="FF0000"/>
                <w:sz w:val="20"/>
                <w:szCs w:val="20"/>
              </w:rPr>
            </w:pPr>
            <w:r>
              <w:rPr>
                <w:color w:val="FF0000"/>
                <w:sz w:val="20"/>
                <w:szCs w:val="20"/>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29</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2016BD8">
                      <wp:extent cx="434340" cy="542290"/>
                      <wp:effectExtent l="95250" t="95250" r="101600" b="88900"/>
                      <wp:docPr id="34" name="Рисунок 22" descr="alt"/>
                      <a:graphic xmlns:a="http://schemas.openxmlformats.org/drawingml/2006/main">
                        <a:graphicData uri="http://schemas.openxmlformats.org/drawingml/2006/picture">
                          <pic:pic xmlns:pic="http://schemas.openxmlformats.org/drawingml/2006/picture">
                            <pic:nvPicPr>
                              <pic:cNvPr id="28" name="Рисунок 22" descr="alt"/>
                              <pic:cNvPicPr/>
                            </pic:nvPicPr>
                            <pic:blipFill>
                              <a:blip r:embed="rId76"/>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2" stroked="f" style="position:absolute;margin-left:0pt;margin-top:-57.2pt;width:34.1pt;height:42.6pt;v-text-anchor:middle;mso-position-vertical:top" wp14:anchorId="52016BD8" type="shapetype_75">
                      <v:imagedata r:id="rId77"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Суражский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22062</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Сураж</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color w:val="FF0000"/>
                <w:sz w:val="20"/>
                <w:szCs w:val="20"/>
              </w:rPr>
            </w:pPr>
            <w:hyperlink r:id="rId78">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admsur</w:t>
              </w:r>
              <w:r>
                <w:rPr>
                  <w:b/>
                  <w:bCs/>
                  <w:sz w:val="20"/>
                  <w:szCs w:val="20"/>
                </w:rPr>
                <w:t>.</w:t>
              </w:r>
              <w:r>
                <w:rPr>
                  <w:b/>
                  <w:bCs/>
                  <w:sz w:val="20"/>
                  <w:szCs w:val="20"/>
                  <w:lang w:val="en-US"/>
                </w:rPr>
                <w:t>ru</w:t>
              </w:r>
              <w:r>
                <w:rPr>
                  <w:b/>
                  <w:bCs/>
                  <w:sz w:val="20"/>
                  <w:szCs w:val="20"/>
                </w:rPr>
                <w:t>/</w:t>
              </w:r>
            </w:hyperlink>
          </w:p>
          <w:p>
            <w:pPr>
              <w:pStyle w:val="Normal"/>
              <w:widowControl w:val="false"/>
              <w:rPr>
                <w:color w:val="FF0000"/>
                <w:sz w:val="20"/>
                <w:szCs w:val="20"/>
              </w:rPr>
            </w:pPr>
            <w:r>
              <w:rPr>
                <w:color w:val="FF0000"/>
                <w:sz w:val="20"/>
                <w:szCs w:val="20"/>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30</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3645BA9E">
                      <wp:extent cx="434340" cy="542290"/>
                      <wp:effectExtent l="95250" t="95250" r="101600" b="88900"/>
                      <wp:docPr id="35" name="Рисунок 24" descr="&amp;Gcy;&amp;iecy;&amp;rcy;&amp;bcy; &amp;ucy;&amp;iecy;&amp;zcy;&amp;dcy;&amp;ncy;&amp;ocy;&amp;gcy;&amp;ocy; &amp;tscy;&amp;iecy;&amp;ncy;&amp;tcy;&amp;rcy;&amp;acy;"/>
                      <a:graphic xmlns:a="http://schemas.openxmlformats.org/drawingml/2006/main">
                        <a:graphicData uri="http://schemas.openxmlformats.org/drawingml/2006/picture">
                          <pic:pic xmlns:pic="http://schemas.openxmlformats.org/drawingml/2006/picture">
                            <pic:nvPicPr>
                              <pic:cNvPr id="29" name="Рисунок 24" descr="&amp;Gcy;&amp;iecy;&amp;rcy;&amp;bcy; &amp;ucy;&amp;iecy;&amp;zcy;&amp;dcy;&amp;ncy;&amp;ocy;&amp;gcy;&amp;ocy; &amp;tscy;&amp;iecy;&amp;ncy;&amp;tcy;&amp;rcy;&amp;acy;"/>
                              <pic:cNvPicPr/>
                            </pic:nvPicPr>
                            <pic:blipFill>
                              <a:blip r:embed="rId79"/>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4" stroked="f" style="position:absolute;margin-left:0pt;margin-top:-57.2pt;width:34.1pt;height:42.6pt;v-text-anchor:middle;mso-position-vertical:top" wp14:anchorId="3645BA9E" type="shapetype_75">
                      <v:imagedata r:id="rId79"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Трубчевский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33581</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Трубчевск</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color w:val="FF0000"/>
                <w:sz w:val="20"/>
                <w:szCs w:val="20"/>
              </w:rPr>
            </w:pPr>
            <w:hyperlink r:id="rId80">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trubech</w:t>
              </w:r>
              <w:r>
                <w:rPr>
                  <w:b/>
                  <w:bCs/>
                  <w:sz w:val="20"/>
                  <w:szCs w:val="20"/>
                </w:rPr>
                <w:t>.</w:t>
              </w:r>
              <w:r>
                <w:rPr>
                  <w:b/>
                  <w:bCs/>
                  <w:sz w:val="20"/>
                  <w:szCs w:val="20"/>
                  <w:lang w:val="en-US"/>
                </w:rPr>
                <w:t>ru</w:t>
              </w:r>
              <w:r>
                <w:rPr>
                  <w:b/>
                  <w:bCs/>
                  <w:sz w:val="20"/>
                  <w:szCs w:val="20"/>
                </w:rPr>
                <w:t>/</w:t>
              </w:r>
            </w:hyperlink>
          </w:p>
          <w:p>
            <w:pPr>
              <w:pStyle w:val="Normal"/>
              <w:widowControl w:val="false"/>
              <w:rPr>
                <w:color w:val="FF0000"/>
                <w:sz w:val="20"/>
                <w:szCs w:val="20"/>
              </w:rPr>
            </w:pPr>
            <w:r>
              <w:rPr>
                <w:color w:val="FF0000"/>
                <w:sz w:val="20"/>
                <w:szCs w:val="20"/>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31</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6688B59">
                      <wp:extent cx="434340" cy="542290"/>
                      <wp:effectExtent l="95250" t="95250" r="101600" b="88900"/>
                      <wp:docPr id="36" name="Рисунок 23" descr="alt"/>
                      <a:graphic xmlns:a="http://schemas.openxmlformats.org/drawingml/2006/main">
                        <a:graphicData uri="http://schemas.openxmlformats.org/drawingml/2006/picture">
                          <pic:pic xmlns:pic="http://schemas.openxmlformats.org/drawingml/2006/picture">
                            <pic:nvPicPr>
                              <pic:cNvPr id="30" name="Рисунок 23" descr="alt"/>
                              <pic:cNvPicPr/>
                            </pic:nvPicPr>
                            <pic:blipFill>
                              <a:blip r:embed="rId81"/>
                              <a:stretch/>
                            </pic:blipFill>
                            <pic:spPr>
                              <a:xfrm>
                                <a:off x="0" y="0"/>
                                <a:ext cx="433800" cy="54180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3" stroked="f" style="position:absolute;margin-left:0pt;margin-top:-57.2pt;width:34.1pt;height:42.6pt;v-text-anchor:middle;mso-position-vertical:top" wp14:anchorId="76688B59" type="shapetype_75">
                      <v:imagedata r:id="rId82" o:detectmouseclick="t"/>
                      <w10:wrap type="none"/>
                      <v:stroke color="#3465a4" joinstyle="round" endcap="flat"/>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Унечский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sz w:val="24"/>
                <w:szCs w:val="24"/>
                <w:lang w:eastAsia="en-US"/>
              </w:rPr>
              <w:t>33853</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Унеча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color w:val="FF0000"/>
                <w:sz w:val="20"/>
                <w:szCs w:val="20"/>
              </w:rPr>
            </w:pPr>
            <w:hyperlink r:id="rId83">
              <w:r>
                <w:rPr>
                  <w:b/>
                  <w:bCs/>
                  <w:sz w:val="20"/>
                  <w:szCs w:val="20"/>
                  <w:lang w:val="en-US"/>
                </w:rPr>
                <w:t>http</w:t>
              </w:r>
              <w:r>
                <w:rPr>
                  <w:b/>
                  <w:bCs/>
                  <w:sz w:val="20"/>
                  <w:szCs w:val="20"/>
                </w:rPr>
                <w:t>://</w:t>
              </w:r>
              <w:r>
                <w:rPr>
                  <w:b/>
                  <w:bCs/>
                  <w:sz w:val="20"/>
                  <w:szCs w:val="20"/>
                  <w:lang w:val="en-US"/>
                </w:rPr>
                <w:t>www.unradm.ru/</w:t>
              </w:r>
            </w:hyperlink>
          </w:p>
          <w:p>
            <w:pPr>
              <w:pStyle w:val="Normal"/>
              <w:widowControl w:val="false"/>
              <w:rPr>
                <w:color w:val="FF0000"/>
                <w:sz w:val="20"/>
                <w:szCs w:val="20"/>
              </w:rPr>
            </w:pPr>
            <w:r>
              <w:rPr>
                <w:color w:val="FF0000"/>
                <w:sz w:val="20"/>
                <w:szCs w:val="20"/>
              </w:rPr>
            </w:r>
          </w:p>
        </w:tc>
      </w:tr>
    </w:tbl>
    <w:p>
      <w:pPr>
        <w:pStyle w:val="Normal"/>
        <w:tabs>
          <w:tab w:val="clear" w:pos="708"/>
          <w:tab w:val="left" w:pos="1691" w:leader="none"/>
        </w:tabs>
        <w:jc w:val="right"/>
        <w:rPr/>
      </w:pPr>
      <w:r>
        <w:rPr/>
        <w:tab/>
      </w:r>
    </w:p>
    <w:p>
      <w:pPr>
        <w:pStyle w:val="Normal"/>
        <w:ind w:firstLine="720"/>
        <w:jc w:val="center"/>
        <w:rPr>
          <w:b/>
          <w:b/>
          <w:bCs/>
        </w:rPr>
      </w:pPr>
      <w:r>
        <w:rPr/>
      </w:r>
    </w:p>
    <w:sectPr>
      <w:footerReference w:type="default" r:id="rId84"/>
      <w:type w:val="nextPage"/>
      <w:pgSz w:w="11906" w:h="16838"/>
      <w:pgMar w:left="720" w:right="720" w:header="0" w:top="720" w:footer="708" w:bottom="765" w:gutter="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ourier New">
    <w:charset w:val="cc"/>
    <w:family w:val="roman"/>
    <w:pitch w:val="variable"/>
  </w:font>
  <w:font w:name="Verdana">
    <w:charset w:val="cc"/>
    <w:family w:val="roman"/>
    <w:pitch w:val="variable"/>
  </w:font>
  <w:font w:name="Calibri">
    <w:charset w:val="cc"/>
    <w:family w:val="auto"/>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60391516"/>
    </w:sdtPr>
    <w:sdtContent>
      <w:p>
        <w:pPr>
          <w:pStyle w:val="Style42"/>
          <w:jc w:val="right"/>
          <w:rPr/>
        </w:pPr>
        <w:r>
          <w:rPr/>
          <w:fldChar w:fldCharType="begin"/>
        </w:r>
        <w:r>
          <w:rPr/>
          <w:instrText> PAGE </w:instrText>
        </w:r>
        <w:r>
          <w:rPr/>
          <w:fldChar w:fldCharType="separate"/>
        </w:r>
        <w:r>
          <w:rPr/>
          <w:t>42</w:t>
        </w:r>
        <w:r>
          <w:rPr/>
          <w:fldChar w:fldCharType="end"/>
        </w:r>
      </w:p>
      <w:p>
        <w:pPr>
          <w:pStyle w:val="Style42"/>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7"/>
      <w:numFmt w:val="decimal"/>
      <w:lvlText w:val="%1."/>
      <w:lvlJc w:val="left"/>
      <w:pPr>
        <w:tabs>
          <w:tab w:val="num" w:pos="0"/>
        </w:tabs>
        <w:ind w:left="1789" w:hanging="360"/>
      </w:pPr>
    </w:lvl>
    <w:lvl w:ilvl="1">
      <w:start w:val="1"/>
      <w:numFmt w:val="lowerLetter"/>
      <w:lvlText w:val="%2."/>
      <w:lvlJc w:val="left"/>
      <w:pPr>
        <w:tabs>
          <w:tab w:val="num" w:pos="0"/>
        </w:tabs>
        <w:ind w:left="2509" w:hanging="360"/>
      </w:pPr>
    </w:lvl>
    <w:lvl w:ilvl="2">
      <w:start w:val="1"/>
      <w:numFmt w:val="lowerRoman"/>
      <w:lvlText w:val="%3."/>
      <w:lvlJc w:val="right"/>
      <w:pPr>
        <w:tabs>
          <w:tab w:val="num" w:pos="0"/>
        </w:tabs>
        <w:ind w:left="3229" w:hanging="180"/>
      </w:pPr>
    </w:lvl>
    <w:lvl w:ilvl="3">
      <w:start w:val="1"/>
      <w:numFmt w:val="decimal"/>
      <w:lvlText w:val="%4."/>
      <w:lvlJc w:val="left"/>
      <w:pPr>
        <w:tabs>
          <w:tab w:val="num" w:pos="0"/>
        </w:tabs>
        <w:ind w:left="3949" w:hanging="360"/>
      </w:pPr>
    </w:lvl>
    <w:lvl w:ilvl="4">
      <w:start w:val="1"/>
      <w:numFmt w:val="lowerLetter"/>
      <w:lvlText w:val="%5."/>
      <w:lvlJc w:val="left"/>
      <w:pPr>
        <w:tabs>
          <w:tab w:val="num" w:pos="0"/>
        </w:tabs>
        <w:ind w:left="4669" w:hanging="360"/>
      </w:pPr>
    </w:lvl>
    <w:lvl w:ilvl="5">
      <w:start w:val="1"/>
      <w:numFmt w:val="lowerRoman"/>
      <w:lvlText w:val="%6."/>
      <w:lvlJc w:val="right"/>
      <w:pPr>
        <w:tabs>
          <w:tab w:val="num" w:pos="0"/>
        </w:tabs>
        <w:ind w:left="5389" w:hanging="180"/>
      </w:pPr>
    </w:lvl>
    <w:lvl w:ilvl="6">
      <w:start w:val="1"/>
      <w:numFmt w:val="decimal"/>
      <w:lvlText w:val="%7."/>
      <w:lvlJc w:val="left"/>
      <w:pPr>
        <w:tabs>
          <w:tab w:val="num" w:pos="0"/>
        </w:tabs>
        <w:ind w:left="6109" w:hanging="360"/>
      </w:pPr>
    </w:lvl>
    <w:lvl w:ilvl="7">
      <w:start w:val="1"/>
      <w:numFmt w:val="lowerLetter"/>
      <w:lvlText w:val="%8."/>
      <w:lvlJc w:val="left"/>
      <w:pPr>
        <w:tabs>
          <w:tab w:val="num" w:pos="0"/>
        </w:tabs>
        <w:ind w:left="6829" w:hanging="360"/>
      </w:pPr>
    </w:lvl>
    <w:lvl w:ilvl="8">
      <w:start w:val="1"/>
      <w:numFmt w:val="lowerRoman"/>
      <w:lvlText w:val="%9."/>
      <w:lvlJc w:val="right"/>
      <w:pPr>
        <w:tabs>
          <w:tab w:val="num" w:pos="0"/>
        </w:tabs>
        <w:ind w:left="7549" w:hanging="180"/>
      </w:pPr>
    </w:lvl>
  </w:abstractNum>
  <w:abstractNum w:abstractNumId="3">
    <w:lvl w:ilvl="0">
      <w:start w:val="6"/>
      <w:numFmt w:val="decimal"/>
      <w:lvlText w:val="%1."/>
      <w:lvlJc w:val="left"/>
      <w:pPr>
        <w:tabs>
          <w:tab w:val="num" w:pos="0"/>
        </w:tabs>
        <w:ind w:left="1789" w:hanging="360"/>
      </w:pPr>
      <w:rPr>
        <w:b/>
      </w:rPr>
    </w:lvl>
    <w:lvl w:ilvl="1">
      <w:start w:val="1"/>
      <w:numFmt w:val="lowerLetter"/>
      <w:lvlText w:val="%2."/>
      <w:lvlJc w:val="left"/>
      <w:pPr>
        <w:tabs>
          <w:tab w:val="num" w:pos="0"/>
        </w:tabs>
        <w:ind w:left="2509" w:hanging="360"/>
      </w:pPr>
    </w:lvl>
    <w:lvl w:ilvl="2">
      <w:start w:val="1"/>
      <w:numFmt w:val="lowerRoman"/>
      <w:lvlText w:val="%3."/>
      <w:lvlJc w:val="right"/>
      <w:pPr>
        <w:tabs>
          <w:tab w:val="num" w:pos="0"/>
        </w:tabs>
        <w:ind w:left="3229" w:hanging="180"/>
      </w:pPr>
    </w:lvl>
    <w:lvl w:ilvl="3">
      <w:start w:val="1"/>
      <w:numFmt w:val="decimal"/>
      <w:lvlText w:val="%4."/>
      <w:lvlJc w:val="left"/>
      <w:pPr>
        <w:tabs>
          <w:tab w:val="num" w:pos="0"/>
        </w:tabs>
        <w:ind w:left="3949" w:hanging="360"/>
      </w:pPr>
    </w:lvl>
    <w:lvl w:ilvl="4">
      <w:start w:val="1"/>
      <w:numFmt w:val="lowerLetter"/>
      <w:lvlText w:val="%5."/>
      <w:lvlJc w:val="left"/>
      <w:pPr>
        <w:tabs>
          <w:tab w:val="num" w:pos="0"/>
        </w:tabs>
        <w:ind w:left="4669" w:hanging="360"/>
      </w:pPr>
    </w:lvl>
    <w:lvl w:ilvl="5">
      <w:start w:val="1"/>
      <w:numFmt w:val="lowerRoman"/>
      <w:lvlText w:val="%6."/>
      <w:lvlJc w:val="right"/>
      <w:pPr>
        <w:tabs>
          <w:tab w:val="num" w:pos="0"/>
        </w:tabs>
        <w:ind w:left="5389" w:hanging="180"/>
      </w:pPr>
    </w:lvl>
    <w:lvl w:ilvl="6">
      <w:start w:val="1"/>
      <w:numFmt w:val="decimal"/>
      <w:lvlText w:val="%7."/>
      <w:lvlJc w:val="left"/>
      <w:pPr>
        <w:tabs>
          <w:tab w:val="num" w:pos="0"/>
        </w:tabs>
        <w:ind w:left="6109" w:hanging="360"/>
      </w:pPr>
    </w:lvl>
    <w:lvl w:ilvl="7">
      <w:start w:val="1"/>
      <w:numFmt w:val="lowerLetter"/>
      <w:lvlText w:val="%8."/>
      <w:lvlJc w:val="left"/>
      <w:pPr>
        <w:tabs>
          <w:tab w:val="num" w:pos="0"/>
        </w:tabs>
        <w:ind w:left="6829" w:hanging="360"/>
      </w:pPr>
    </w:lvl>
    <w:lvl w:ilvl="8">
      <w:start w:val="1"/>
      <w:numFmt w:val="lowerRoman"/>
      <w:lvlText w:val="%9."/>
      <w:lvlJc w:val="right"/>
      <w:pPr>
        <w:tabs>
          <w:tab w:val="num" w:pos="0"/>
        </w:tabs>
        <w:ind w:left="7549" w:hanging="180"/>
      </w:pPr>
    </w:lvl>
  </w:abstractNum>
  <w:abstractNum w:abstractNumId="4">
    <w:lvl w:ilvl="0">
      <w:start w:val="31"/>
      <w:numFmt w:val="decimal"/>
      <w:lvlText w:val="%1."/>
      <w:lvlJc w:val="left"/>
      <w:pPr>
        <w:tabs>
          <w:tab w:val="num" w:pos="0"/>
        </w:tabs>
        <w:ind w:left="1070" w:hanging="360"/>
      </w:pPr>
      <w:rPr>
        <w:i w:val="false"/>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5">
    <w:lvl w:ilvl="0">
      <w:start w:val="2"/>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lvl w:ilvl="0">
      <w:start w:val="1"/>
      <w:numFmt w:val="decimal"/>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4">
    <w:lvl w:ilvl="0">
      <w:start w:val="1"/>
      <w:numFmt w:val="decimal"/>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5">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6">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7">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8">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9">
    <w:lvl w:ilvl="0">
      <w:start w:val="1"/>
      <w:numFmt w:val="decimal"/>
      <w:lvlText w:val="%1."/>
      <w:lvlJc w:val="left"/>
      <w:pPr>
        <w:tabs>
          <w:tab w:val="num" w:pos="0"/>
        </w:tabs>
        <w:ind w:left="1211" w:hanging="360"/>
      </w:pPr>
      <w:rPr>
        <w:i w:val="false"/>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3">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4">
    <w:lvl w:ilvl="0">
      <w:start w:val="1"/>
      <w:numFmt w:val="decimal"/>
      <w:lvlText w:val="%1."/>
      <w:lvlJc w:val="left"/>
      <w:pPr>
        <w:tabs>
          <w:tab w:val="num" w:pos="0"/>
        </w:tabs>
        <w:ind w:left="1770" w:hanging="105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6">
    <w:lvl w:ilvl="0">
      <w:start w:val="1"/>
      <w:numFmt w:val="upperRoman"/>
      <w:lvlText w:val="%1."/>
      <w:lvlJc w:val="left"/>
      <w:pPr>
        <w:tabs>
          <w:tab w:val="num" w:pos="1288"/>
        </w:tabs>
        <w:ind w:left="1288" w:hanging="720"/>
      </w:pPr>
      <w:rPr>
        <w:rFonts w:cs="Times New Roman"/>
      </w:rPr>
    </w:lvl>
    <w:lvl w:ilvl="1">
      <w:start w:val="6"/>
      <w:numFmt w:val="decimal"/>
      <w:lvlText w:val="%2."/>
      <w:lvlJc w:val="left"/>
      <w:pPr>
        <w:tabs>
          <w:tab w:val="num" w:pos="2145"/>
        </w:tabs>
        <w:ind w:left="2145" w:hanging="106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lvl w:ilvl="0">
      <w:start w:val="1"/>
      <w:numFmt w:val="upperRoman"/>
      <w:lvlText w:val="%1."/>
      <w:lvlJc w:val="left"/>
      <w:pPr>
        <w:tabs>
          <w:tab w:val="num" w:pos="1288"/>
        </w:tabs>
        <w:ind w:left="1288" w:hanging="720"/>
      </w:pPr>
      <w:rPr>
        <w:rFonts w:cs="Times New Roman"/>
      </w:rPr>
    </w:lvl>
    <w:lvl w:ilvl="1">
      <w:start w:val="6"/>
      <w:numFmt w:val="decimal"/>
      <w:lvlText w:val="%2."/>
      <w:lvlJc w:val="left"/>
      <w:pPr>
        <w:tabs>
          <w:tab w:val="num" w:pos="2145"/>
        </w:tabs>
        <w:ind w:left="2145" w:hanging="106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lvl w:ilvl="0">
      <w:start w:val="1"/>
      <w:numFmt w:val="upperRoman"/>
      <w:lvlText w:val="%1."/>
      <w:lvlJc w:val="left"/>
      <w:pPr>
        <w:tabs>
          <w:tab w:val="num" w:pos="0"/>
        </w:tabs>
        <w:ind w:left="1080" w:hanging="720"/>
      </w:p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26"/>
    <w:lvlOverride w:ilvl="0">
      <w:startOverride w:val="1"/>
    </w:lvlOverride>
  </w:num>
  <w:num w:numId="31">
    <w:abstractNumId w:val="26"/>
  </w:num>
  <w:num w:numId="32">
    <w:abstractNumId w:val="28"/>
    <w:lvlOverride w:ilvl="0">
      <w:startOverride w:val="1"/>
    </w:lvlOverride>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Body Text Indent 2" w:uiPriority="0"/>
    <w:lsdException w:name="Strong" w:uiPriority="22" w:semiHidden="0" w:unhideWhenUsed="0" w:qFormat="1"/>
    <w:lsdException w:name="Emphasis" w:uiPriority="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61825"/>
    <w:pPr>
      <w:widowControl/>
      <w:suppressAutoHyphens w:val="false"/>
      <w:bidi w:val="0"/>
      <w:spacing w:before="0" w:after="0"/>
      <w:jc w:val="left"/>
    </w:pPr>
    <w:rPr>
      <w:rFonts w:ascii="Times New Roman" w:hAnsi="Times New Roman" w:eastAsia="Times New Roman" w:cs="Times New Roman"/>
      <w:color w:val="auto"/>
      <w:kern w:val="0"/>
      <w:sz w:val="28"/>
      <w:szCs w:val="28"/>
      <w:lang w:val="ru-RU" w:eastAsia="ru-RU" w:bidi="ar-SA"/>
    </w:rPr>
  </w:style>
  <w:style w:type="paragraph" w:styleId="1">
    <w:name w:val="Heading 1"/>
    <w:basedOn w:val="Normal"/>
    <w:next w:val="Normal"/>
    <w:link w:val="10"/>
    <w:uiPriority w:val="99"/>
    <w:qFormat/>
    <w:rsid w:val="00bb0975"/>
    <w:pPr>
      <w:spacing w:before="108" w:after="108"/>
      <w:jc w:val="center"/>
      <w:outlineLvl w:val="0"/>
    </w:pPr>
    <w:rPr>
      <w:rFonts w:ascii="Arial" w:hAnsi="Arial" w:cs="Arial"/>
      <w:b/>
      <w:bCs/>
      <w:color w:val="000080"/>
      <w:sz w:val="20"/>
      <w:szCs w:val="20"/>
      <w:lang w:eastAsia="en-US"/>
    </w:rPr>
  </w:style>
  <w:style w:type="character" w:styleId="DefaultParagraphFont" w:default="1">
    <w:name w:val="Default Paragraph Font"/>
    <w:uiPriority w:val="1"/>
    <w:semiHidden/>
    <w:unhideWhenUsed/>
    <w:qFormat/>
    <w:rPr/>
  </w:style>
  <w:style w:type="character" w:styleId="Style13">
    <w:name w:val="Интернет-ссылка"/>
    <w:basedOn w:val="DefaultParagraphFont"/>
    <w:uiPriority w:val="99"/>
    <w:unhideWhenUsed/>
    <w:rsid w:val="00ed5f27"/>
    <w:rPr>
      <w:color w:val="0000FF"/>
      <w:u w:val="single"/>
    </w:rPr>
  </w:style>
  <w:style w:type="character" w:styleId="Style14" w:customStyle="1">
    <w:name w:val="Основной текст с отступом Знак"/>
    <w:basedOn w:val="DefaultParagraphFont"/>
    <w:link w:val="a5"/>
    <w:qFormat/>
    <w:rsid w:val="006c4e78"/>
    <w:rPr>
      <w:rFonts w:ascii="Times New Roman" w:hAnsi="Times New Roman" w:eastAsia="Times New Roman" w:cs="Times New Roman"/>
      <w:sz w:val="24"/>
      <w:szCs w:val="24"/>
      <w:lang w:eastAsia="ru-RU"/>
    </w:rPr>
  </w:style>
  <w:style w:type="character" w:styleId="Annotationreference">
    <w:name w:val="annotation reference"/>
    <w:basedOn w:val="DefaultParagraphFont"/>
    <w:uiPriority w:val="99"/>
    <w:semiHidden/>
    <w:unhideWhenUsed/>
    <w:qFormat/>
    <w:rsid w:val="006c4e78"/>
    <w:rPr>
      <w:sz w:val="16"/>
      <w:szCs w:val="16"/>
    </w:rPr>
  </w:style>
  <w:style w:type="character" w:styleId="Style15" w:customStyle="1">
    <w:name w:val="Текст примечания Знак"/>
    <w:basedOn w:val="DefaultParagraphFont"/>
    <w:link w:val="a8"/>
    <w:uiPriority w:val="99"/>
    <w:semiHidden/>
    <w:qFormat/>
    <w:rsid w:val="006c4e78"/>
    <w:rPr>
      <w:rFonts w:ascii="Times New Roman" w:hAnsi="Times New Roman" w:eastAsia="Times New Roman" w:cs="Times New Roman"/>
      <w:sz w:val="20"/>
      <w:szCs w:val="20"/>
      <w:lang w:eastAsia="ru-RU"/>
    </w:rPr>
  </w:style>
  <w:style w:type="character" w:styleId="Style16" w:customStyle="1">
    <w:name w:val="Текст выноски Знак"/>
    <w:basedOn w:val="DefaultParagraphFont"/>
    <w:link w:val="aa"/>
    <w:uiPriority w:val="99"/>
    <w:semiHidden/>
    <w:qFormat/>
    <w:rsid w:val="006c4e78"/>
    <w:rPr>
      <w:rFonts w:ascii="Tahoma" w:hAnsi="Tahoma" w:eastAsia="Times New Roman" w:cs="Tahoma"/>
      <w:sz w:val="16"/>
      <w:szCs w:val="16"/>
      <w:lang w:eastAsia="ru-RU"/>
    </w:rPr>
  </w:style>
  <w:style w:type="character" w:styleId="Style17" w:customStyle="1">
    <w:name w:val="Верхний колонтитул Знак"/>
    <w:basedOn w:val="DefaultParagraphFont"/>
    <w:link w:val="ac"/>
    <w:qFormat/>
    <w:rsid w:val="00f23f4f"/>
    <w:rPr>
      <w:rFonts w:ascii="Times New Roman" w:hAnsi="Times New Roman" w:eastAsia="Times New Roman" w:cs="Times New Roman"/>
      <w:sz w:val="28"/>
      <w:szCs w:val="28"/>
      <w:lang w:eastAsia="ru-RU"/>
    </w:rPr>
  </w:style>
  <w:style w:type="character" w:styleId="Style18" w:customStyle="1">
    <w:name w:val="Нижний колонтитул Знак"/>
    <w:basedOn w:val="DefaultParagraphFont"/>
    <w:link w:val="ae"/>
    <w:uiPriority w:val="99"/>
    <w:qFormat/>
    <w:rsid w:val="00f23f4f"/>
    <w:rPr>
      <w:rFonts w:ascii="Times New Roman" w:hAnsi="Times New Roman" w:eastAsia="Times New Roman" w:cs="Times New Roman"/>
      <w:sz w:val="28"/>
      <w:szCs w:val="28"/>
      <w:lang w:eastAsia="ru-RU"/>
    </w:rPr>
  </w:style>
  <w:style w:type="character" w:styleId="Style19" w:customStyle="1">
    <w:name w:val="Название Знак"/>
    <w:basedOn w:val="DefaultParagraphFont"/>
    <w:link w:val="af0"/>
    <w:qFormat/>
    <w:rsid w:val="00343753"/>
    <w:rPr>
      <w:rFonts w:ascii="Times New Roman" w:hAnsi="Times New Roman" w:eastAsia="Times New Roman" w:cs="Times New Roman"/>
      <w:b/>
      <w:bCs/>
      <w:sz w:val="24"/>
      <w:szCs w:val="24"/>
      <w:lang w:eastAsia="ru-RU"/>
    </w:rPr>
  </w:style>
  <w:style w:type="character" w:styleId="BodyTextIndentChar" w:customStyle="1">
    <w:name w:val="Body Text Indent Char"/>
    <w:basedOn w:val="DefaultParagraphFont"/>
    <w:link w:val="12"/>
    <w:qFormat/>
    <w:rsid w:val="00465acb"/>
    <w:rPr>
      <w:rFonts w:ascii="Times New Roman" w:hAnsi="Times New Roman" w:eastAsia="Times New Roman" w:cs="Times New Roman"/>
      <w:sz w:val="24"/>
      <w:szCs w:val="24"/>
      <w:lang w:eastAsia="ru-RU"/>
    </w:rPr>
  </w:style>
  <w:style w:type="character" w:styleId="Style20" w:customStyle="1">
    <w:name w:val="Ст. без интервала Знак"/>
    <w:link w:val="af5"/>
    <w:qFormat/>
    <w:rsid w:val="007b2d15"/>
    <w:rPr>
      <w:rFonts w:ascii="Times New Roman" w:hAnsi="Times New Roman" w:eastAsia="Calibri" w:cs="Times New Roman"/>
      <w:sz w:val="28"/>
      <w:szCs w:val="28"/>
    </w:rPr>
  </w:style>
  <w:style w:type="character" w:styleId="Style21" w:customStyle="1">
    <w:name w:val="Основной текст Знак"/>
    <w:basedOn w:val="DefaultParagraphFont"/>
    <w:link w:val="af9"/>
    <w:qFormat/>
    <w:rsid w:val="00b04902"/>
    <w:rPr>
      <w:rFonts w:ascii="Times New Roman" w:hAnsi="Times New Roman" w:eastAsia="Times New Roman" w:cs="Times New Roman"/>
      <w:sz w:val="24"/>
      <w:szCs w:val="24"/>
      <w:lang w:eastAsia="ru-RU"/>
    </w:rPr>
  </w:style>
  <w:style w:type="character" w:styleId="11" w:customStyle="1">
    <w:name w:val="Заголовок 1 Знак"/>
    <w:basedOn w:val="DefaultParagraphFont"/>
    <w:link w:val="1"/>
    <w:uiPriority w:val="99"/>
    <w:qFormat/>
    <w:rsid w:val="00bb0975"/>
    <w:rPr>
      <w:rFonts w:ascii="Arial" w:hAnsi="Arial" w:eastAsia="Times New Roman" w:cs="Arial"/>
      <w:b/>
      <w:bCs/>
      <w:color w:val="000080"/>
      <w:sz w:val="20"/>
      <w:szCs w:val="20"/>
    </w:rPr>
  </w:style>
  <w:style w:type="character" w:styleId="Style22" w:customStyle="1">
    <w:name w:val="Текст сноски Знак"/>
    <w:basedOn w:val="DefaultParagraphFont"/>
    <w:link w:val="afb"/>
    <w:uiPriority w:val="99"/>
    <w:semiHidden/>
    <w:qFormat/>
    <w:rsid w:val="00416e76"/>
    <w:rPr>
      <w:rFonts w:ascii="Times New Roman" w:hAnsi="Times New Roman" w:eastAsia="Times New Roman"/>
    </w:rPr>
  </w:style>
  <w:style w:type="character" w:styleId="Style23">
    <w:name w:val="Привязка сноски"/>
    <w:rPr>
      <w:vertAlign w:val="superscript"/>
    </w:rPr>
  </w:style>
  <w:style w:type="character" w:styleId="FootnoteCharacters">
    <w:name w:val="Footnote Characters"/>
    <w:basedOn w:val="DefaultParagraphFont"/>
    <w:uiPriority w:val="99"/>
    <w:semiHidden/>
    <w:unhideWhenUsed/>
    <w:qFormat/>
    <w:rsid w:val="00416e76"/>
    <w:rPr>
      <w:vertAlign w:val="superscript"/>
    </w:rPr>
  </w:style>
  <w:style w:type="character" w:styleId="Style24">
    <w:name w:val="Выделение"/>
    <w:qFormat/>
    <w:rsid w:val="001a68a9"/>
    <w:rPr>
      <w:i/>
      <w:iCs/>
    </w:rPr>
  </w:style>
  <w:style w:type="character" w:styleId="2" w:customStyle="1">
    <w:name w:val="Основной текст с отступом 2 Знак"/>
    <w:basedOn w:val="DefaultParagraphFont"/>
    <w:link w:val="2"/>
    <w:qFormat/>
    <w:rsid w:val="00ba591e"/>
    <w:rPr>
      <w:rFonts w:ascii="Times New Roman" w:hAnsi="Times New Roman" w:eastAsia="Times New Roman"/>
      <w:sz w:val="28"/>
      <w:szCs w:val="28"/>
    </w:rPr>
  </w:style>
  <w:style w:type="character" w:styleId="S7" w:customStyle="1">
    <w:name w:val="s7"/>
    <w:basedOn w:val="DefaultParagraphFont"/>
    <w:qFormat/>
    <w:rsid w:val="00a85921"/>
    <w:rPr/>
  </w:style>
  <w:style w:type="character" w:styleId="Style25" w:customStyle="1">
    <w:name w:val="Текст концевой сноски Знак"/>
    <w:basedOn w:val="DefaultParagraphFont"/>
    <w:link w:val="aff2"/>
    <w:uiPriority w:val="99"/>
    <w:semiHidden/>
    <w:qFormat/>
    <w:rsid w:val="00072c9b"/>
    <w:rPr>
      <w:rFonts w:ascii="Times New Roman" w:hAnsi="Times New Roman" w:eastAsia="Times New Roman"/>
    </w:rPr>
  </w:style>
  <w:style w:type="character" w:styleId="Style26">
    <w:name w:val="Привязка концевой сноски"/>
    <w:rPr>
      <w:vertAlign w:val="superscript"/>
    </w:rPr>
  </w:style>
  <w:style w:type="character" w:styleId="EndnoteCharacters">
    <w:name w:val="Endnote Characters"/>
    <w:basedOn w:val="DefaultParagraphFont"/>
    <w:uiPriority w:val="99"/>
    <w:semiHidden/>
    <w:unhideWhenUsed/>
    <w:qFormat/>
    <w:rsid w:val="00072c9b"/>
    <w:rPr>
      <w:vertAlign w:val="superscript"/>
    </w:rPr>
  </w:style>
  <w:style w:type="character" w:styleId="3" w:customStyle="1">
    <w:name w:val="Основной текст с отступом 3 Знак"/>
    <w:basedOn w:val="DefaultParagraphFont"/>
    <w:link w:val="3"/>
    <w:uiPriority w:val="99"/>
    <w:semiHidden/>
    <w:qFormat/>
    <w:rsid w:val="00225369"/>
    <w:rPr>
      <w:rFonts w:ascii="Times New Roman" w:hAnsi="Times New Roman" w:eastAsia="Times New Roman"/>
      <w:sz w:val="16"/>
      <w:szCs w:val="16"/>
    </w:rPr>
  </w:style>
  <w:style w:type="character" w:styleId="Style27" w:customStyle="1">
    <w:name w:val="Основной текст_"/>
    <w:link w:val="31"/>
    <w:qFormat/>
    <w:rsid w:val="00225369"/>
    <w:rPr>
      <w:rFonts w:ascii="Times New Roman" w:hAnsi="Times New Roman" w:eastAsia="Times New Roman"/>
      <w:sz w:val="26"/>
      <w:szCs w:val="26"/>
      <w:shd w:fill="FFFFFF" w:val="clear"/>
    </w:rPr>
  </w:style>
  <w:style w:type="character" w:styleId="12" w:customStyle="1">
    <w:name w:val="Основной текст1"/>
    <w:qFormat/>
    <w:rsid w:val="00225369"/>
    <w:rPr/>
  </w:style>
  <w:style w:type="character" w:styleId="Style28" w:customStyle="1">
    <w:name w:val="Без интервала Знак"/>
    <w:basedOn w:val="DefaultParagraphFont"/>
    <w:link w:val="af2"/>
    <w:uiPriority w:val="1"/>
    <w:qFormat/>
    <w:rsid w:val="008b013b"/>
    <w:rPr>
      <w:rFonts w:ascii="Times New Roman" w:hAnsi="Times New Roman"/>
      <w:lang w:eastAsia="en-US"/>
    </w:rPr>
  </w:style>
  <w:style w:type="character" w:styleId="Style29" w:customStyle="1">
    <w:name w:val="Тема примечания Знак"/>
    <w:basedOn w:val="Style15"/>
    <w:link w:val="aff6"/>
    <w:uiPriority w:val="99"/>
    <w:semiHidden/>
    <w:qFormat/>
    <w:rsid w:val="0079129e"/>
    <w:rPr>
      <w:rFonts w:ascii="Times New Roman" w:hAnsi="Times New Roman" w:eastAsia="Times New Roman" w:cs="Times New Roman"/>
      <w:b/>
      <w:bCs/>
      <w:sz w:val="20"/>
      <w:szCs w:val="20"/>
      <w:lang w:eastAsia="ru-RU"/>
    </w:rPr>
  </w:style>
  <w:style w:type="character" w:styleId="Style30">
    <w:name w:val="Посещённая гиперссылка"/>
    <w:basedOn w:val="DefaultParagraphFont"/>
    <w:uiPriority w:val="99"/>
    <w:semiHidden/>
    <w:unhideWhenUsed/>
    <w:rsid w:val="003b7cd0"/>
    <w:rPr>
      <w:color w:val="7F6F6F" w:themeColor="followedHyperlink"/>
      <w:u w:val="single"/>
    </w:rPr>
  </w:style>
  <w:style w:type="character" w:styleId="Style31">
    <w:name w:val="Символ сноски"/>
    <w:qFormat/>
    <w:rPr/>
  </w:style>
  <w:style w:type="character" w:styleId="Style32">
    <w:name w:val="Символ концевой сноски"/>
    <w:qFormat/>
    <w:rPr/>
  </w:style>
  <w:style w:type="character" w:styleId="Style33">
    <w:name w:val="Маркеры"/>
    <w:qFormat/>
    <w:rPr>
      <w:rFonts w:ascii="OpenSymbol" w:hAnsi="OpenSymbol" w:eastAsia="OpenSymbol" w:cs="OpenSymbol"/>
    </w:rPr>
  </w:style>
  <w:style w:type="paragraph" w:styleId="Style34">
    <w:name w:val="Заголовок"/>
    <w:basedOn w:val="Normal"/>
    <w:next w:val="Style35"/>
    <w:qFormat/>
    <w:pPr>
      <w:keepNext w:val="true"/>
      <w:spacing w:before="240" w:after="120"/>
    </w:pPr>
    <w:rPr>
      <w:rFonts w:ascii="Liberation Sans" w:hAnsi="Liberation Sans" w:eastAsia="Microsoft YaHei" w:cs="Arial"/>
      <w:sz w:val="28"/>
      <w:szCs w:val="28"/>
    </w:rPr>
  </w:style>
  <w:style w:type="paragraph" w:styleId="Style35">
    <w:name w:val="Body Text"/>
    <w:basedOn w:val="Normal"/>
    <w:link w:val="afa"/>
    <w:rsid w:val="00b04902"/>
    <w:pPr>
      <w:spacing w:before="0" w:after="120"/>
    </w:pPr>
    <w:rPr>
      <w:sz w:val="24"/>
      <w:szCs w:val="24"/>
    </w:rPr>
  </w:style>
  <w:style w:type="paragraph" w:styleId="Style36">
    <w:name w:val="List"/>
    <w:basedOn w:val="Style35"/>
    <w:pPr/>
    <w:rPr>
      <w:rFonts w:cs="Arial"/>
    </w:rPr>
  </w:style>
  <w:style w:type="paragraph" w:styleId="Style37">
    <w:name w:val="Caption"/>
    <w:basedOn w:val="Normal"/>
    <w:qFormat/>
    <w:pPr>
      <w:suppressLineNumbers/>
      <w:spacing w:before="120" w:after="120"/>
    </w:pPr>
    <w:rPr>
      <w:rFonts w:cs="Arial"/>
      <w:i/>
      <w:iCs/>
      <w:sz w:val="24"/>
      <w:szCs w:val="24"/>
    </w:rPr>
  </w:style>
  <w:style w:type="paragraph" w:styleId="Style38">
    <w:name w:val="Указатель"/>
    <w:basedOn w:val="Normal"/>
    <w:qFormat/>
    <w:pPr>
      <w:suppressLineNumbers/>
    </w:pPr>
    <w:rPr>
      <w:rFonts w:cs="Arial"/>
    </w:rPr>
  </w:style>
  <w:style w:type="paragraph" w:styleId="NormalWeb">
    <w:name w:val="Normal (Web)"/>
    <w:basedOn w:val="Normal"/>
    <w:uiPriority w:val="99"/>
    <w:unhideWhenUsed/>
    <w:qFormat/>
    <w:rsid w:val="006c4e78"/>
    <w:pPr>
      <w:spacing w:beforeAutospacing="1" w:afterAutospacing="1"/>
    </w:pPr>
    <w:rPr>
      <w:sz w:val="24"/>
      <w:szCs w:val="24"/>
    </w:rPr>
  </w:style>
  <w:style w:type="paragraph" w:styleId="Style39">
    <w:name w:val="Body Text Indent"/>
    <w:basedOn w:val="Normal"/>
    <w:link w:val="a6"/>
    <w:unhideWhenUsed/>
    <w:rsid w:val="006c4e78"/>
    <w:pPr>
      <w:spacing w:before="0" w:after="120"/>
      <w:ind w:left="283" w:hanging="0"/>
    </w:pPr>
    <w:rPr>
      <w:sz w:val="24"/>
      <w:szCs w:val="24"/>
    </w:rPr>
  </w:style>
  <w:style w:type="paragraph" w:styleId="BodyText21" w:customStyle="1">
    <w:name w:val="Body Text 21"/>
    <w:basedOn w:val="Normal"/>
    <w:uiPriority w:val="99"/>
    <w:qFormat/>
    <w:rsid w:val="006c4e78"/>
    <w:pPr>
      <w:widowControl w:val="false"/>
      <w:overflowPunct w:val="false"/>
    </w:pPr>
    <w:rPr>
      <w:spacing w:val="-2"/>
      <w:sz w:val="24"/>
      <w:szCs w:val="20"/>
      <w:lang w:val="de-DE"/>
    </w:rPr>
  </w:style>
  <w:style w:type="paragraph" w:styleId="ConsPlusNonformat" w:customStyle="1">
    <w:name w:val="ConsPlusNonformat"/>
    <w:uiPriority w:val="99"/>
    <w:qFormat/>
    <w:rsid w:val="006c4e78"/>
    <w:pPr>
      <w:widowControl/>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Annotationtext">
    <w:name w:val="annotation text"/>
    <w:basedOn w:val="Normal"/>
    <w:link w:val="a9"/>
    <w:uiPriority w:val="99"/>
    <w:semiHidden/>
    <w:unhideWhenUsed/>
    <w:qFormat/>
    <w:rsid w:val="006c4e78"/>
    <w:pPr/>
    <w:rPr>
      <w:sz w:val="20"/>
      <w:szCs w:val="20"/>
    </w:rPr>
  </w:style>
  <w:style w:type="paragraph" w:styleId="BalloonText">
    <w:name w:val="Balloon Text"/>
    <w:basedOn w:val="Normal"/>
    <w:link w:val="ab"/>
    <w:uiPriority w:val="99"/>
    <w:semiHidden/>
    <w:unhideWhenUsed/>
    <w:qFormat/>
    <w:rsid w:val="006c4e78"/>
    <w:pPr/>
    <w:rPr>
      <w:rFonts w:ascii="Tahoma" w:hAnsi="Tahoma" w:cs="Tahoma"/>
      <w:sz w:val="16"/>
      <w:szCs w:val="16"/>
    </w:rPr>
  </w:style>
  <w:style w:type="paragraph" w:styleId="Style40">
    <w:name w:val="Верхний и нижний колонтитулы"/>
    <w:basedOn w:val="Normal"/>
    <w:qFormat/>
    <w:pPr/>
    <w:rPr/>
  </w:style>
  <w:style w:type="paragraph" w:styleId="Style41">
    <w:name w:val="Header"/>
    <w:basedOn w:val="Normal"/>
    <w:link w:val="ad"/>
    <w:unhideWhenUsed/>
    <w:rsid w:val="00f23f4f"/>
    <w:pPr>
      <w:tabs>
        <w:tab w:val="clear" w:pos="708"/>
        <w:tab w:val="center" w:pos="4677" w:leader="none"/>
        <w:tab w:val="right" w:pos="9355" w:leader="none"/>
      </w:tabs>
    </w:pPr>
    <w:rPr/>
  </w:style>
  <w:style w:type="paragraph" w:styleId="Style42">
    <w:name w:val="Footer"/>
    <w:basedOn w:val="Normal"/>
    <w:link w:val="af"/>
    <w:uiPriority w:val="99"/>
    <w:unhideWhenUsed/>
    <w:rsid w:val="00f23f4f"/>
    <w:pPr>
      <w:tabs>
        <w:tab w:val="clear" w:pos="708"/>
        <w:tab w:val="center" w:pos="4677" w:leader="none"/>
        <w:tab w:val="right" w:pos="9355" w:leader="none"/>
      </w:tabs>
    </w:pPr>
    <w:rPr/>
  </w:style>
  <w:style w:type="paragraph" w:styleId="Style43">
    <w:name w:val="Title"/>
    <w:basedOn w:val="Normal"/>
    <w:link w:val="af1"/>
    <w:qFormat/>
    <w:rsid w:val="00343753"/>
    <w:pPr>
      <w:jc w:val="center"/>
    </w:pPr>
    <w:rPr>
      <w:b/>
      <w:bCs/>
      <w:sz w:val="24"/>
      <w:szCs w:val="24"/>
    </w:rPr>
  </w:style>
  <w:style w:type="paragraph" w:styleId="NoSpacing">
    <w:name w:val="No Spacing"/>
    <w:link w:val="af3"/>
    <w:uiPriority w:val="1"/>
    <w:qFormat/>
    <w:rsid w:val="00343753"/>
    <w:pPr>
      <w:widowControl w:val="false"/>
      <w:suppressAutoHyphens w:val="true"/>
      <w:bidi w:val="0"/>
      <w:spacing w:before="0" w:after="0"/>
      <w:jc w:val="left"/>
    </w:pPr>
    <w:rPr>
      <w:rFonts w:ascii="Times New Roman" w:hAnsi="Times New Roman" w:eastAsia="Calibri" w:cs="Times New Roman"/>
      <w:color w:val="auto"/>
      <w:kern w:val="0"/>
      <w:sz w:val="20"/>
      <w:szCs w:val="20"/>
      <w:lang w:val="ru-RU" w:eastAsia="en-US" w:bidi="ar-SA"/>
    </w:rPr>
  </w:style>
  <w:style w:type="paragraph" w:styleId="ListParagraph">
    <w:name w:val="List Paragraph"/>
    <w:basedOn w:val="Normal"/>
    <w:uiPriority w:val="34"/>
    <w:qFormat/>
    <w:rsid w:val="00343753"/>
    <w:pPr>
      <w:spacing w:lineRule="auto" w:line="276" w:before="0" w:after="200"/>
      <w:ind w:left="720" w:hanging="0"/>
      <w:contextualSpacing/>
    </w:pPr>
    <w:rPr>
      <w:rFonts w:ascii="Calibri" w:hAnsi="Calibri" w:eastAsia="Calibri"/>
      <w:sz w:val="22"/>
      <w:szCs w:val="22"/>
      <w:lang w:eastAsia="en-US"/>
    </w:rPr>
  </w:style>
  <w:style w:type="paragraph" w:styleId="13" w:customStyle="1">
    <w:name w:val="Абзац списка1"/>
    <w:basedOn w:val="Normal"/>
    <w:qFormat/>
    <w:rsid w:val="00343753"/>
    <w:pPr>
      <w:widowControl w:val="false"/>
      <w:suppressAutoHyphens w:val="true"/>
      <w:spacing w:lineRule="auto" w:line="276" w:before="0" w:after="200"/>
      <w:ind w:left="720" w:hanging="0"/>
    </w:pPr>
    <w:rPr>
      <w:rFonts w:ascii="Calibri" w:hAnsi="Calibri" w:cs="Calibri"/>
      <w:sz w:val="22"/>
      <w:szCs w:val="22"/>
      <w:lang w:eastAsia="ar-SA"/>
    </w:rPr>
  </w:style>
  <w:style w:type="paragraph" w:styleId="ConsPlusNormal" w:customStyle="1">
    <w:name w:val="ConsPlusNormal"/>
    <w:qFormat/>
    <w:rsid w:val="00465acb"/>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14" w:customStyle="1">
    <w:name w:val="Основной текст с отступом1"/>
    <w:basedOn w:val="Normal"/>
    <w:link w:val="BodyTextIndentChar"/>
    <w:qFormat/>
    <w:rsid w:val="00465acb"/>
    <w:pPr>
      <w:spacing w:before="0" w:after="120"/>
      <w:ind w:left="283" w:hanging="0"/>
    </w:pPr>
    <w:rPr>
      <w:sz w:val="24"/>
      <w:szCs w:val="24"/>
    </w:rPr>
  </w:style>
  <w:style w:type="paragraph" w:styleId="111" w:customStyle="1">
    <w:name w:val="Знак1 Знак Знак Знак Знак Знак1 Знак"/>
    <w:basedOn w:val="Normal"/>
    <w:qFormat/>
    <w:rsid w:val="007b2d15"/>
    <w:pPr>
      <w:spacing w:before="0" w:after="160"/>
    </w:pPr>
    <w:rPr>
      <w:sz w:val="24"/>
      <w:szCs w:val="24"/>
      <w:lang w:val="en-US" w:eastAsia="en-US"/>
    </w:rPr>
  </w:style>
  <w:style w:type="paragraph" w:styleId="Style44" w:customStyle="1">
    <w:name w:val="Ст. без интервала"/>
    <w:basedOn w:val="Normal"/>
    <w:link w:val="af6"/>
    <w:qFormat/>
    <w:rsid w:val="007b2d15"/>
    <w:pPr/>
    <w:rPr>
      <w:rFonts w:eastAsia="Calibri"/>
    </w:rPr>
  </w:style>
  <w:style w:type="paragraph" w:styleId="Default" w:customStyle="1">
    <w:name w:val="Default"/>
    <w:qFormat/>
    <w:rsid w:val="00c943d1"/>
    <w:pPr>
      <w:widowControl/>
      <w:suppressAutoHyphens w:val="tru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Style45" w:customStyle="1">
    <w:name w:val="Нормальный (таблица)"/>
    <w:basedOn w:val="Normal"/>
    <w:next w:val="Normal"/>
    <w:qFormat/>
    <w:rsid w:val="00b04902"/>
    <w:pPr>
      <w:widowControl w:val="false"/>
    </w:pPr>
    <w:rPr>
      <w:rFonts w:ascii="Arial" w:hAnsi="Arial" w:cs="Arial"/>
      <w:sz w:val="24"/>
      <w:szCs w:val="24"/>
    </w:rPr>
  </w:style>
  <w:style w:type="paragraph" w:styleId="Style46" w:customStyle="1">
    <w:name w:val="Прижатый влево"/>
    <w:basedOn w:val="Normal"/>
    <w:next w:val="Normal"/>
    <w:uiPriority w:val="99"/>
    <w:qFormat/>
    <w:rsid w:val="00b04902"/>
    <w:pPr/>
    <w:rPr>
      <w:rFonts w:ascii="Arial" w:hAnsi="Arial" w:eastAsia="Calibri" w:cs="Arial"/>
      <w:sz w:val="24"/>
      <w:szCs w:val="24"/>
    </w:rPr>
  </w:style>
  <w:style w:type="paragraph" w:styleId="Style47">
    <w:name w:val="Footnote Text"/>
    <w:basedOn w:val="Normal"/>
    <w:link w:val="afc"/>
    <w:uiPriority w:val="99"/>
    <w:semiHidden/>
    <w:unhideWhenUsed/>
    <w:rsid w:val="00416e76"/>
    <w:pPr/>
    <w:rPr>
      <w:sz w:val="20"/>
      <w:szCs w:val="20"/>
    </w:rPr>
  </w:style>
  <w:style w:type="paragraph" w:styleId="BodyTextIndent2">
    <w:name w:val="Body Text Indent 2"/>
    <w:basedOn w:val="Normal"/>
    <w:link w:val="20"/>
    <w:unhideWhenUsed/>
    <w:qFormat/>
    <w:rsid w:val="00ba591e"/>
    <w:pPr>
      <w:spacing w:lineRule="auto" w:line="480" w:before="0" w:after="120"/>
      <w:ind w:left="283" w:hanging="0"/>
    </w:pPr>
    <w:rPr/>
  </w:style>
  <w:style w:type="paragraph" w:styleId="15" w:customStyle="1">
    <w:name w:val="Знак Знак Знак1"/>
    <w:basedOn w:val="Normal"/>
    <w:qFormat/>
    <w:rsid w:val="00ee4aea"/>
    <w:pPr>
      <w:spacing w:beforeAutospacing="1" w:afterAutospacing="1"/>
    </w:pPr>
    <w:rPr>
      <w:rFonts w:ascii="Tahoma" w:hAnsi="Tahoma"/>
      <w:sz w:val="20"/>
      <w:szCs w:val="20"/>
      <w:lang w:val="en-US" w:eastAsia="en-US"/>
    </w:rPr>
  </w:style>
  <w:style w:type="paragraph" w:styleId="Style48" w:customStyle="1">
    <w:name w:val="Знак Знак Знак Знак Знак Знак Знак Знак Знак Знак Знак Знак Знак Знак Знак Знак"/>
    <w:basedOn w:val="Normal"/>
    <w:qFormat/>
    <w:rsid w:val="00a80117"/>
    <w:pPr>
      <w:spacing w:lineRule="exact" w:line="240" w:before="0" w:after="160"/>
    </w:pPr>
    <w:rPr>
      <w:rFonts w:ascii="Verdana" w:hAnsi="Verdana" w:cs="Verdana"/>
      <w:sz w:val="20"/>
      <w:szCs w:val="20"/>
      <w:lang w:val="en-US" w:eastAsia="en-US"/>
    </w:rPr>
  </w:style>
  <w:style w:type="paragraph" w:styleId="Style49" w:customStyle="1">
    <w:name w:val="Знак Знак Знак"/>
    <w:basedOn w:val="Normal"/>
    <w:uiPriority w:val="99"/>
    <w:qFormat/>
    <w:rsid w:val="000b6dde"/>
    <w:pPr>
      <w:spacing w:lineRule="exact" w:line="240" w:before="0" w:after="160"/>
    </w:pPr>
    <w:rPr>
      <w:rFonts w:ascii="Verdana" w:hAnsi="Verdana"/>
      <w:sz w:val="20"/>
      <w:szCs w:val="20"/>
      <w:lang w:val="en-US" w:eastAsia="en-US"/>
    </w:rPr>
  </w:style>
  <w:style w:type="paragraph" w:styleId="ConsNormal" w:customStyle="1">
    <w:name w:val="ConsNormal"/>
    <w:qFormat/>
    <w:rsid w:val="001a51a7"/>
    <w:pPr>
      <w:widowControl w:val="false"/>
      <w:suppressAutoHyphens w:val="true"/>
      <w:bidi w:val="0"/>
      <w:spacing w:before="0" w:after="0"/>
      <w:ind w:right="19772" w:firstLine="720"/>
      <w:jc w:val="left"/>
    </w:pPr>
    <w:rPr>
      <w:rFonts w:ascii="Arial" w:hAnsi="Arial" w:eastAsia="Times New Roman" w:cs="Arial"/>
      <w:color w:val="auto"/>
      <w:kern w:val="0"/>
      <w:sz w:val="20"/>
      <w:szCs w:val="20"/>
      <w:lang w:val="ru-RU" w:eastAsia="ru-RU" w:bidi="ar-SA"/>
    </w:rPr>
  </w:style>
  <w:style w:type="paragraph" w:styleId="P3" w:customStyle="1">
    <w:name w:val="p3"/>
    <w:basedOn w:val="Normal"/>
    <w:qFormat/>
    <w:rsid w:val="00a85921"/>
    <w:pPr>
      <w:spacing w:beforeAutospacing="1" w:afterAutospacing="1"/>
    </w:pPr>
    <w:rPr>
      <w:sz w:val="24"/>
      <w:szCs w:val="24"/>
    </w:rPr>
  </w:style>
  <w:style w:type="paragraph" w:styleId="ConsPlusCell" w:customStyle="1">
    <w:name w:val="ConsPlusCell"/>
    <w:qFormat/>
    <w:rsid w:val="00a85921"/>
    <w:pPr>
      <w:widowControl w:val="false"/>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Style50">
    <w:name w:val="Endnote Text"/>
    <w:basedOn w:val="Normal"/>
    <w:link w:val="aff3"/>
    <w:uiPriority w:val="99"/>
    <w:semiHidden/>
    <w:unhideWhenUsed/>
    <w:rsid w:val="00072c9b"/>
    <w:pPr/>
    <w:rPr>
      <w:sz w:val="20"/>
      <w:szCs w:val="20"/>
    </w:rPr>
  </w:style>
  <w:style w:type="paragraph" w:styleId="21" w:customStyle="1">
    <w:name w:val="Основной текст с отступом 21"/>
    <w:basedOn w:val="Normal"/>
    <w:qFormat/>
    <w:rsid w:val="00ff14d5"/>
    <w:pPr>
      <w:suppressAutoHyphens w:val="true"/>
      <w:spacing w:lineRule="auto" w:line="480" w:before="0" w:after="120"/>
      <w:ind w:left="283" w:hanging="0"/>
    </w:pPr>
    <w:rPr>
      <w:rFonts w:cs="Calibri"/>
      <w:lang w:eastAsia="ar-SA"/>
    </w:rPr>
  </w:style>
  <w:style w:type="paragraph" w:styleId="BodyTextIndent3">
    <w:name w:val="Body Text Indent 3"/>
    <w:basedOn w:val="Normal"/>
    <w:link w:val="30"/>
    <w:uiPriority w:val="99"/>
    <w:semiHidden/>
    <w:unhideWhenUsed/>
    <w:qFormat/>
    <w:rsid w:val="00225369"/>
    <w:pPr>
      <w:spacing w:before="0" w:after="120"/>
      <w:ind w:left="283" w:hanging="0"/>
    </w:pPr>
    <w:rPr>
      <w:sz w:val="16"/>
      <w:szCs w:val="16"/>
    </w:rPr>
  </w:style>
  <w:style w:type="paragraph" w:styleId="31" w:customStyle="1">
    <w:name w:val="Основной текст3"/>
    <w:basedOn w:val="Normal"/>
    <w:link w:val="aff5"/>
    <w:qFormat/>
    <w:rsid w:val="00225369"/>
    <w:pPr>
      <w:shd w:val="clear" w:color="auto" w:fill="FFFFFF"/>
      <w:spacing w:lineRule="exact" w:line="322"/>
      <w:ind w:firstLine="700"/>
    </w:pPr>
    <w:rPr>
      <w:sz w:val="26"/>
      <w:szCs w:val="26"/>
    </w:rPr>
  </w:style>
  <w:style w:type="paragraph" w:styleId="Caaieiaieiino" w:customStyle="1">
    <w:name w:val="Caaieiaie_iino"/>
    <w:basedOn w:val="Normal"/>
    <w:qFormat/>
    <w:rsid w:val="004f5198"/>
    <w:pPr>
      <w:tabs>
        <w:tab w:val="clear" w:pos="708"/>
        <w:tab w:val="left" w:pos="10440" w:leader="none"/>
      </w:tabs>
      <w:ind w:left="720" w:right="4627" w:hanging="0"/>
    </w:pPr>
    <w:rPr>
      <w:sz w:val="26"/>
      <w:szCs w:val="20"/>
    </w:rPr>
  </w:style>
  <w:style w:type="paragraph" w:styleId="Annotationsubject">
    <w:name w:val="annotation subject"/>
    <w:basedOn w:val="Annotationtext"/>
    <w:next w:val="Annotationtext"/>
    <w:link w:val="aff7"/>
    <w:uiPriority w:val="99"/>
    <w:semiHidden/>
    <w:unhideWhenUsed/>
    <w:qFormat/>
    <w:rsid w:val="0079129e"/>
    <w:pPr/>
    <w:rPr>
      <w:b/>
      <w:bCs/>
    </w:rPr>
  </w:style>
  <w:style w:type="paragraph" w:styleId="Announcetext" w:customStyle="1">
    <w:name w:val="announce-text"/>
    <w:basedOn w:val="Normal"/>
    <w:qFormat/>
    <w:rsid w:val="002d5f60"/>
    <w:pPr>
      <w:spacing w:before="280" w:after="280"/>
    </w:pPr>
    <w:rPr>
      <w:rFonts w:cs="Calibri"/>
      <w:kern w:val="2"/>
      <w:sz w:val="24"/>
      <w:szCs w:val="24"/>
      <w:lang w:eastAsia="ar-SA"/>
    </w:rPr>
  </w:style>
  <w:style w:type="paragraph" w:styleId="Style5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f0">
    <w:name w:val="Table Grid"/>
    <w:basedOn w:val="a1"/>
    <w:uiPriority w:val="39"/>
    <w:rsid w:val="009337c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
    <w:name w:val="Сетка таблицы1"/>
    <w:basedOn w:val="a1"/>
    <w:uiPriority w:val="39"/>
    <w:rsid w:val="00ce528b"/>
    <w:pPr>
      <w:spacing w:before="100"/>
    </w:pPr>
    <w:rPr>
      <w:rFonts w:asciiTheme="minorHAnsi" w:hAnsiTheme="minorHAnsi" w:eastAsiaTheme="minorEastAsia" w:cstheme="minorBid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2">
    <w:name w:val="Сетка таблицы2"/>
    <w:basedOn w:val="a1"/>
    <w:uiPriority w:val="39"/>
    <w:rsid w:val="00ce528b"/>
    <w:pPr>
      <w:spacing w:before="100"/>
    </w:pPr>
    <w:rPr>
      <w:rFonts w:asciiTheme="minorHAnsi" w:hAnsiTheme="minorHAnsi" w:eastAsiaTheme="minorEastAsia" w:cstheme="minorBid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2">
    <w:name w:val="Сетка таблицы3"/>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
    <w:name w:val="Сетка таблицы4"/>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
    <w:name w:val="Сетка таблицы5"/>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
    <w:name w:val="Сетка таблицы6"/>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
    <w:name w:val="Сетка таблицы7"/>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
    <w:name w:val="Сетка таблицы8"/>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
    <w:name w:val="Сетка таблицы9"/>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0">
    <w:name w:val="Сетка таблицы10"/>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bryanskobl.ru/" TargetMode="External"/><Relationship Id="rId3" Type="http://schemas.openxmlformats.org/officeDocument/2006/relationships/hyperlink" Target="consultantplus://offline/ref=69CC2EF3A88B9DFF8A941001E359273B8CCF433AC615F827DB24C194D1D0A9N" TargetMode="External"/><Relationship Id="rId4" Type="http://schemas.openxmlformats.org/officeDocument/2006/relationships/image" Target="media/image1.jpeg"/><Relationship Id="rId5" Type="http://schemas.openxmlformats.org/officeDocument/2006/relationships/hyperlink" Target="http://www.bryansk032.ru/" TargetMode="External"/><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yperlink" Target="http://www.klinci.ru/" TargetMode="External"/><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hyperlink" Target="http://zibkoe.ucoz.ru/" TargetMode="External"/><Relationship Id="rId12" Type="http://schemas.openxmlformats.org/officeDocument/2006/relationships/image" Target="media/image6.gif"/><Relationship Id="rId13" Type="http://schemas.openxmlformats.org/officeDocument/2006/relationships/image" Target="media/image7.png"/><Relationship Id="rId14" Type="http://schemas.openxmlformats.org/officeDocument/2006/relationships/hyperlink" Target="http://www.admsel.ru/" TargetMode="External"/><Relationship Id="rId15" Type="http://schemas.openxmlformats.org/officeDocument/2006/relationships/image" Target="media/image8.jpeg"/><Relationship Id="rId16" Type="http://schemas.openxmlformats.org/officeDocument/2006/relationships/hyperlink" Target="http://admfokino.narod.ru/" TargetMode="External"/><Relationship Id="rId17" Type="http://schemas.openxmlformats.org/officeDocument/2006/relationships/image" Target="media/image9.jpeg"/><Relationship Id="rId18" Type="http://schemas.openxmlformats.org/officeDocument/2006/relationships/image" Target="media/image10.jpeg"/><Relationship Id="rId19" Type="http://schemas.openxmlformats.org/officeDocument/2006/relationships/hyperlink" Target="http://&#1075;&#1086;&#1088;&#1086;&#1076;-&#1089;&#1090;&#1072;&#1088;&#1086;&#1076;&#1091;&#1073;.&#1088;&#1092;/" TargetMode="External"/><Relationship Id="rId20" Type="http://schemas.openxmlformats.org/officeDocument/2006/relationships/hyperlink" Target="http://&#1075;&#1086;&#1088;&#1086;&#1076;-&#1089;&#1090;&#1072;&#1088;&#1086;&#1076;&#1091;&#1073;.&#1088;&#1092;/" TargetMode="External"/><Relationship Id="rId21" Type="http://schemas.openxmlformats.org/officeDocument/2006/relationships/hyperlink" Target="http://&#1075;&#1086;&#1088;&#1086;&#1076;-&#1089;&#1090;&#1072;&#1088;&#1086;&#1076;&#1091;&#1073;.&#1088;&#1092;/" TargetMode="External"/><Relationship Id="rId22" Type="http://schemas.openxmlformats.org/officeDocument/2006/relationships/hyperlink" Target="http://&#1075;&#1086;&#1088;&#1086;&#1076;-&#1089;&#1090;&#1072;&#1088;&#1086;&#1076;&#1091;&#1073;.&#1088;&#1092;/" TargetMode="External"/><Relationship Id="rId23" Type="http://schemas.openxmlformats.org/officeDocument/2006/relationships/image" Target="media/image11.jpeg"/><Relationship Id="rId24" Type="http://schemas.openxmlformats.org/officeDocument/2006/relationships/image" Target="media/image12.jpeg"/><Relationship Id="rId25" Type="http://schemas.openxmlformats.org/officeDocument/2006/relationships/hyperlink" Target="http://www.brasadmin.org/" TargetMode="External"/><Relationship Id="rId26" Type="http://schemas.openxmlformats.org/officeDocument/2006/relationships/image" Target="media/image13.jpeg"/><Relationship Id="rId27" Type="http://schemas.openxmlformats.org/officeDocument/2006/relationships/hyperlink" Target="http://www.admbr.ru/" TargetMode="External"/><Relationship Id="rId28" Type="http://schemas.openxmlformats.org/officeDocument/2006/relationships/image" Target="media/image14.jpeg"/><Relationship Id="rId29" Type="http://schemas.openxmlformats.org/officeDocument/2006/relationships/image" Target="media/image15.jpeg"/><Relationship Id="rId30" Type="http://schemas.openxmlformats.org/officeDocument/2006/relationships/hyperlink" Target="http://www.adminwr.ru/" TargetMode="External"/><Relationship Id="rId31" Type="http://schemas.openxmlformats.org/officeDocument/2006/relationships/image" Target="media/image16.jpeg"/><Relationship Id="rId32" Type="http://schemas.openxmlformats.org/officeDocument/2006/relationships/hyperlink" Target="http://www.admgordeevka.ru/" TargetMode="External"/><Relationship Id="rId33" Type="http://schemas.openxmlformats.org/officeDocument/2006/relationships/image" Target="media/image17.jpeg"/><Relationship Id="rId34" Type="http://schemas.openxmlformats.org/officeDocument/2006/relationships/hyperlink" Target="http://www.admdubrovka.ru/" TargetMode="External"/><Relationship Id="rId35" Type="http://schemas.openxmlformats.org/officeDocument/2006/relationships/image" Target="media/image18.jpeg"/><Relationship Id="rId36" Type="http://schemas.openxmlformats.org/officeDocument/2006/relationships/image" Target="media/image19.jpeg"/><Relationship Id="rId37" Type="http://schemas.openxmlformats.org/officeDocument/2006/relationships/hyperlink" Target="http://admindtk.ru/" TargetMode="External"/><Relationship Id="rId38" Type="http://schemas.openxmlformats.org/officeDocument/2006/relationships/image" Target="media/image20.png"/><Relationship Id="rId39" Type="http://schemas.openxmlformats.org/officeDocument/2006/relationships/image" Target="media/image21.png"/><Relationship Id="rId40" Type="http://schemas.openxmlformats.org/officeDocument/2006/relationships/hyperlink" Target="http://www.juratino.ru/" TargetMode="External"/><Relationship Id="rId41" Type="http://schemas.openxmlformats.org/officeDocument/2006/relationships/image" Target="media/image22.jpeg"/><Relationship Id="rId42" Type="http://schemas.openxmlformats.org/officeDocument/2006/relationships/hyperlink" Target="http://www.zhukadmin.com/" TargetMode="External"/><Relationship Id="rId43" Type="http://schemas.openxmlformats.org/officeDocument/2006/relationships/image" Target="media/image23.jpeg"/><Relationship Id="rId44" Type="http://schemas.openxmlformats.org/officeDocument/2006/relationships/image" Target="media/image24.jpeg"/><Relationship Id="rId45" Type="http://schemas.openxmlformats.org/officeDocument/2006/relationships/hyperlink" Target="http://zlynka.narod.ru/" TargetMode="External"/><Relationship Id="rId46" Type="http://schemas.openxmlformats.org/officeDocument/2006/relationships/image" Target="media/image25.jpeg"/><Relationship Id="rId47" Type="http://schemas.openxmlformats.org/officeDocument/2006/relationships/hyperlink" Target="http://karadmin.ru/" TargetMode="External"/><Relationship Id="rId48" Type="http://schemas.openxmlformats.org/officeDocument/2006/relationships/image" Target="media/image26.jpeg"/><Relationship Id="rId49" Type="http://schemas.openxmlformats.org/officeDocument/2006/relationships/hyperlink" Target="http://www.kletn.ru/" TargetMode="External"/><Relationship Id="rId50" Type="http://schemas.openxmlformats.org/officeDocument/2006/relationships/image" Target="media/image27.jpeg"/><Relationship Id="rId51" Type="http://schemas.openxmlformats.org/officeDocument/2006/relationships/hyperlink" Target="http://www.kladm.ru/" TargetMode="External"/><Relationship Id="rId52" Type="http://schemas.openxmlformats.org/officeDocument/2006/relationships/image" Target="media/image28.jpeg"/><Relationship Id="rId53" Type="http://schemas.openxmlformats.org/officeDocument/2006/relationships/hyperlink" Target="http://www.klinrai.ru/" TargetMode="External"/><Relationship Id="rId54" Type="http://schemas.openxmlformats.org/officeDocument/2006/relationships/image" Target="media/image29.png"/><Relationship Id="rId55" Type="http://schemas.openxmlformats.org/officeDocument/2006/relationships/hyperlink" Target="http://adminkom.ru/" TargetMode="External"/><Relationship Id="rId56" Type="http://schemas.openxmlformats.org/officeDocument/2006/relationships/image" Target="media/image30.jpeg"/><Relationship Id="rId57" Type="http://schemas.openxmlformats.org/officeDocument/2006/relationships/hyperlink" Target="http://www.krgadm.ru/" TargetMode="External"/><Relationship Id="rId58" Type="http://schemas.openxmlformats.org/officeDocument/2006/relationships/image" Target="media/image31.jpeg"/><Relationship Id="rId59" Type="http://schemas.openxmlformats.org/officeDocument/2006/relationships/hyperlink" Target="http://www.mgladm.ru/" TargetMode="External"/><Relationship Id="rId60" Type="http://schemas.openxmlformats.org/officeDocument/2006/relationships/image" Target="media/image32.png"/><Relationship Id="rId61" Type="http://schemas.openxmlformats.org/officeDocument/2006/relationships/image" Target="media/image33.png"/><Relationship Id="rId62" Type="http://schemas.openxmlformats.org/officeDocument/2006/relationships/hyperlink" Target="http://admnav.ru/" TargetMode="External"/><Relationship Id="rId63" Type="http://schemas.openxmlformats.org/officeDocument/2006/relationships/image" Target="media/image34.png"/><Relationship Id="rId64" Type="http://schemas.openxmlformats.org/officeDocument/2006/relationships/hyperlink" Target="http://www.pogaradm.ru/" TargetMode="External"/><Relationship Id="rId65" Type="http://schemas.openxmlformats.org/officeDocument/2006/relationships/image" Target="media/image35.png"/><Relationship Id="rId66" Type="http://schemas.openxmlformats.org/officeDocument/2006/relationships/hyperlink" Target="http://www.admpochep.ru/" TargetMode="External"/><Relationship Id="rId67" Type="http://schemas.openxmlformats.org/officeDocument/2006/relationships/image" Target="media/image36.png"/><Relationship Id="rId68" Type="http://schemas.openxmlformats.org/officeDocument/2006/relationships/image" Target="media/image37.png"/><Relationship Id="rId69" Type="http://schemas.openxmlformats.org/officeDocument/2006/relationships/hyperlink" Target="http://www.rognedino.ru/" TargetMode="External"/><Relationship Id="rId70" Type="http://schemas.openxmlformats.org/officeDocument/2006/relationships/image" Target="media/image38.jpeg"/><Relationship Id="rId71" Type="http://schemas.openxmlformats.org/officeDocument/2006/relationships/image" Target="media/image39.jpeg"/><Relationship Id="rId72" Type="http://schemas.openxmlformats.org/officeDocument/2006/relationships/hyperlink" Target="http://www.sevskadm.ru/" TargetMode="External"/><Relationship Id="rId73" Type="http://schemas.openxmlformats.org/officeDocument/2006/relationships/image" Target="media/image40.jpeg"/><Relationship Id="rId74" Type="http://schemas.openxmlformats.org/officeDocument/2006/relationships/image" Target="media/image41.jpeg"/><Relationship Id="rId75" Type="http://schemas.openxmlformats.org/officeDocument/2006/relationships/hyperlink" Target="http://www.admsuzemka.ru/" TargetMode="External"/><Relationship Id="rId76" Type="http://schemas.openxmlformats.org/officeDocument/2006/relationships/image" Target="media/image42.jpeg"/><Relationship Id="rId77" Type="http://schemas.openxmlformats.org/officeDocument/2006/relationships/image" Target="media/image43.jpeg"/><Relationship Id="rId78" Type="http://schemas.openxmlformats.org/officeDocument/2006/relationships/hyperlink" Target="http://www.admsur.ru/" TargetMode="External"/><Relationship Id="rId79" Type="http://schemas.openxmlformats.org/officeDocument/2006/relationships/image" Target="media/image44.png"/><Relationship Id="rId80" Type="http://schemas.openxmlformats.org/officeDocument/2006/relationships/hyperlink" Target="http://www.trubech.ru/" TargetMode="External"/><Relationship Id="rId81" Type="http://schemas.openxmlformats.org/officeDocument/2006/relationships/image" Target="media/image45.jpeg"/><Relationship Id="rId82" Type="http://schemas.openxmlformats.org/officeDocument/2006/relationships/image" Target="media/image46.jpeg"/><Relationship Id="rId83" Type="http://schemas.openxmlformats.org/officeDocument/2006/relationships/hyperlink" Target="http://www.unradm.ru/" TargetMode="External"/><Relationship Id="rId84" Type="http://schemas.openxmlformats.org/officeDocument/2006/relationships/footer" Target="footer1.xml"/><Relationship Id="rId85" Type="http://schemas.openxmlformats.org/officeDocument/2006/relationships/numbering" Target="numbering.xml"/><Relationship Id="rId86" Type="http://schemas.openxmlformats.org/officeDocument/2006/relationships/fontTable" Target="fontTable.xml"/><Relationship Id="rId87" Type="http://schemas.openxmlformats.org/officeDocument/2006/relationships/settings" Target="settings.xml"/><Relationship Id="rId88" Type="http://schemas.openxmlformats.org/officeDocument/2006/relationships/theme" Target="theme/theme1.xml"/><Relationship Id="rId89" Type="http://schemas.openxmlformats.org/officeDocument/2006/relationships/customXml" Target="../customXml/item1.xml"/><Relationship Id="rId90" Type="http://schemas.openxmlformats.org/officeDocument/2006/relationships/customXml" Target="../customXml/item2.xml"/>
</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E327F8-5510-42ED-A05A-A18A6B47D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1556</TotalTime>
  <Application>LibreOffice/7.0.1.2$Windows_X86_64 LibreOffice_project/7cbcfc562f6eb6708b5ff7d7397325de9e764452</Application>
  <Pages>42</Pages>
  <Words>11974</Words>
  <Characters>89008</Characters>
  <CharactersWithSpaces>100520</CharactersWithSpaces>
  <Paragraphs>720</Paragraphs>
  <Company>Департамент</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2020-09-01T07:34:00Z</dcterms:created>
  <dc:creator>Popova-tk</dc:creator>
  <dc:description/>
  <dc:language>ru-RU</dc:language>
  <cp:lastModifiedBy/>
  <cp:lastPrinted>2020-09-30T09:20:03Z</cp:lastPrinted>
  <dcterms:modified xsi:type="dcterms:W3CDTF">2020-09-30T14:22:13Z</dcterms:modified>
  <cp:revision>69</cp:revision>
  <dc:subject/>
  <dc:title>СВОДНЫЙ ДОКЛАД 
БРЯНСКОЙ ОБЛАСТИ 
О РЕЗУЛЬТАТАХ МОНИТОРИНГА ЭФФЕКТИВНОСТИ ДЕЯТЕЛЬНОСТИ ОРГАНОВ МЕСТНОГО САМОУПРАВЛЕНИЯ ГОРОДСКИХ ОКРУГОВ 
И МУНИЦИПАЛЬНЫХ РАЙОНОВ БРЯНСКОЙ ОБЛАСТИ 
ЗА 2019 ГОД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Департамент</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